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31C8E7" w14:textId="2A62EB81" w:rsidR="002F499E" w:rsidRPr="00301803" w:rsidRDefault="002A30EE" w:rsidP="002F499E">
      <w:pPr>
        <w:pStyle w:val="CRCoverPage"/>
        <w:tabs>
          <w:tab w:val="right" w:pos="9639"/>
        </w:tabs>
        <w:spacing w:after="0"/>
        <w:rPr>
          <w:b/>
          <w:i/>
          <w:noProof/>
          <w:sz w:val="28"/>
          <w:lang w:val="en-US"/>
        </w:rPr>
      </w:pPr>
      <w:bookmarkStart w:id="0" w:name="Title"/>
      <w:bookmarkEnd w:id="0"/>
      <w:r w:rsidRPr="004E2857">
        <w:rPr>
          <w:b/>
          <w:sz w:val="24"/>
          <w:szCs w:val="24"/>
        </w:rPr>
        <w:t>3GPP TSG-RAN WG4 Meeting #</w:t>
      </w:r>
      <w:r w:rsidRPr="004E2857">
        <w:t xml:space="preserve"> </w:t>
      </w:r>
      <w:r w:rsidRPr="004E2857">
        <w:rPr>
          <w:b/>
          <w:sz w:val="24"/>
          <w:szCs w:val="24"/>
        </w:rPr>
        <w:t>101-bis-e</w:t>
      </w:r>
      <w:r w:rsidR="002F499E">
        <w:rPr>
          <w:b/>
          <w:i/>
          <w:noProof/>
          <w:sz w:val="28"/>
        </w:rPr>
        <w:tab/>
      </w:r>
      <w:r w:rsidR="002D1F4A" w:rsidRPr="002D1F4A">
        <w:rPr>
          <w:b/>
          <w:noProof/>
          <w:sz w:val="24"/>
        </w:rPr>
        <w:t>R4-2200300</w:t>
      </w:r>
    </w:p>
    <w:p w14:paraId="72150EF2" w14:textId="77777777" w:rsidR="002A30EE" w:rsidRPr="004E2857" w:rsidRDefault="002A30EE" w:rsidP="002A30EE">
      <w:pPr>
        <w:pStyle w:val="Header"/>
        <w:tabs>
          <w:tab w:val="right" w:pos="9781"/>
          <w:tab w:val="right" w:pos="13323"/>
        </w:tabs>
        <w:outlineLvl w:val="0"/>
        <w:rPr>
          <w:rFonts w:eastAsia="SimSun" w:cs="Arial"/>
          <w:b w:val="0"/>
          <w:sz w:val="24"/>
          <w:szCs w:val="24"/>
        </w:rPr>
      </w:pPr>
      <w:r w:rsidRPr="004E2857">
        <w:rPr>
          <w:rFonts w:eastAsia="SimSun" w:cs="Arial"/>
          <w:sz w:val="24"/>
          <w:szCs w:val="24"/>
        </w:rPr>
        <w:t>Electronic Meeting, January 17-25, 2022</w:t>
      </w:r>
    </w:p>
    <w:p w14:paraId="155BA110" w14:textId="77777777" w:rsidR="002F499E" w:rsidRDefault="002F499E" w:rsidP="00712CC1">
      <w:pPr>
        <w:tabs>
          <w:tab w:val="left" w:pos="1985"/>
        </w:tabs>
        <w:spacing w:after="120"/>
        <w:jc w:val="both"/>
        <w:rPr>
          <w:rFonts w:ascii="Arial" w:hAnsi="Arial" w:cs="Arial"/>
          <w:b/>
          <w:sz w:val="22"/>
          <w:szCs w:val="22"/>
        </w:rPr>
      </w:pPr>
    </w:p>
    <w:p w14:paraId="038E9536" w14:textId="6D2745A9"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2A30EE">
        <w:rPr>
          <w:rFonts w:ascii="Arial" w:hAnsi="Arial" w:cs="Arial"/>
          <w:b/>
          <w:sz w:val="22"/>
          <w:szCs w:val="22"/>
        </w:rPr>
        <w:t>6</w:t>
      </w:r>
      <w:r w:rsidR="00FD7948">
        <w:rPr>
          <w:rFonts w:ascii="Arial" w:hAnsi="Arial" w:cs="Arial"/>
          <w:b/>
          <w:sz w:val="22"/>
          <w:szCs w:val="22"/>
        </w:rPr>
        <w:t>.</w:t>
      </w:r>
      <w:r w:rsidR="00423936">
        <w:rPr>
          <w:rFonts w:ascii="Arial" w:hAnsi="Arial" w:cs="Arial"/>
          <w:b/>
          <w:sz w:val="22"/>
          <w:szCs w:val="22"/>
        </w:rPr>
        <w:t>25</w:t>
      </w:r>
      <w:r w:rsidR="00FD7948">
        <w:rPr>
          <w:rFonts w:ascii="Arial" w:hAnsi="Arial" w:cs="Arial"/>
          <w:b/>
          <w:sz w:val="22"/>
          <w:szCs w:val="22"/>
        </w:rPr>
        <w:t>.</w:t>
      </w:r>
      <w:r w:rsidR="00423936">
        <w:rPr>
          <w:rFonts w:ascii="Arial" w:hAnsi="Arial" w:cs="Arial"/>
          <w:b/>
          <w:sz w:val="22"/>
          <w:szCs w:val="22"/>
        </w:rPr>
        <w:t>2</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30169E60" w:rsidR="00712CC1" w:rsidRPr="00662C95"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CD651A" w:rsidRPr="00CD651A">
        <w:rPr>
          <w:rFonts w:ascii="Arial" w:hAnsi="Arial" w:cs="Arial"/>
          <w:b/>
          <w:sz w:val="22"/>
          <w:szCs w:val="22"/>
        </w:rPr>
        <w:t xml:space="preserve">On RRM requirement for </w:t>
      </w:r>
      <w:r w:rsidR="00220B73">
        <w:rPr>
          <w:rFonts w:ascii="Arial" w:hAnsi="Arial" w:cs="Arial"/>
          <w:b/>
          <w:sz w:val="22"/>
          <w:szCs w:val="22"/>
        </w:rPr>
        <w:t>CG-</w:t>
      </w:r>
      <w:r w:rsidR="00CD651A" w:rsidRPr="00CD651A">
        <w:rPr>
          <w:rFonts w:ascii="Arial" w:hAnsi="Arial" w:cs="Arial"/>
          <w:b/>
          <w:sz w:val="22"/>
          <w:szCs w:val="22"/>
        </w:rPr>
        <w:t>SDT</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05C2AC50" w14:textId="06C3A3E2" w:rsidR="00FD7948" w:rsidRDefault="00FD7948" w:rsidP="00FD7948">
      <w:pPr>
        <w:jc w:val="both"/>
      </w:pPr>
      <w:r>
        <w:t xml:space="preserve">In last RAN4 meeting, the RRM requirement for </w:t>
      </w:r>
      <w:r w:rsidR="00423936">
        <w:t>SDT</w:t>
      </w:r>
      <w:r>
        <w:t xml:space="preserve"> has been discussed and the conclusions </w:t>
      </w:r>
      <w:r w:rsidR="000A0579">
        <w:t>were</w:t>
      </w:r>
      <w:r>
        <w:t xml:space="preserve"> captured in the </w:t>
      </w:r>
      <w:proofErr w:type="gramStart"/>
      <w:r>
        <w:t>WF[</w:t>
      </w:r>
      <w:proofErr w:type="gramEnd"/>
      <w:r>
        <w:t xml:space="preserve">1]. However, there are couple </w:t>
      </w:r>
      <w:r w:rsidR="000A0579">
        <w:t xml:space="preserve">of </w:t>
      </w:r>
      <w:r>
        <w:t xml:space="preserve">open issues from last meeting, and in this contribution, we </w:t>
      </w:r>
      <w:r w:rsidR="000A0579">
        <w:t>continue</w:t>
      </w:r>
      <w:r>
        <w:t xml:space="preserve"> discuss</w:t>
      </w:r>
      <w:r w:rsidR="000A0579">
        <w:t>ing</w:t>
      </w:r>
      <w:r>
        <w:t xml:space="preserve"> the RRM requirement for </w:t>
      </w:r>
      <w:r w:rsidR="00423936">
        <w:t>SDT</w:t>
      </w:r>
      <w:r>
        <w:t>.</w:t>
      </w:r>
    </w:p>
    <w:p w14:paraId="11114A88" w14:textId="02AD9449" w:rsidR="00712CC1" w:rsidRDefault="00220B73" w:rsidP="00712CC1">
      <w:pPr>
        <w:pStyle w:val="Heading1"/>
        <w:numPr>
          <w:ilvl w:val="0"/>
          <w:numId w:val="10"/>
        </w:numPr>
        <w:pBdr>
          <w:top w:val="single" w:sz="12" w:space="2" w:color="auto"/>
        </w:pBdr>
        <w:tabs>
          <w:tab w:val="num" w:pos="45"/>
        </w:tabs>
        <w:jc w:val="both"/>
        <w:rPr>
          <w:sz w:val="32"/>
        </w:rPr>
      </w:pPr>
      <w:r>
        <w:rPr>
          <w:sz w:val="32"/>
        </w:rPr>
        <w:t>RRM requirement for CG-SDT</w:t>
      </w:r>
    </w:p>
    <w:p w14:paraId="6551AAFA" w14:textId="1F96208E" w:rsidR="008C22A6" w:rsidRDefault="00FD7948" w:rsidP="008C22A6">
      <w:r>
        <w:t xml:space="preserve">In last meeting, some agreements on </w:t>
      </w:r>
      <w:r w:rsidR="008A0A18">
        <w:t>RRM requirement for CG-SDT</w:t>
      </w:r>
      <w:r>
        <w:t xml:space="preserve"> were</w:t>
      </w:r>
      <w:r w:rsidR="00A62FBC">
        <w:t xml:space="preserve"> (open issues are highlighted in yellow)</w:t>
      </w:r>
      <w:r>
        <w:t>,</w:t>
      </w:r>
    </w:p>
    <w:tbl>
      <w:tblPr>
        <w:tblStyle w:val="TableGrid"/>
        <w:tblW w:w="0" w:type="auto"/>
        <w:tblLook w:val="04A0" w:firstRow="1" w:lastRow="0" w:firstColumn="1" w:lastColumn="0" w:noHBand="0" w:noVBand="1"/>
      </w:tblPr>
      <w:tblGrid>
        <w:gridCol w:w="9629"/>
      </w:tblGrid>
      <w:tr w:rsidR="00FD7948" w:rsidRPr="00A62FBC" w14:paraId="33941B4F" w14:textId="77777777" w:rsidTr="00FD7948">
        <w:tc>
          <w:tcPr>
            <w:tcW w:w="9629" w:type="dxa"/>
          </w:tcPr>
          <w:p w14:paraId="74EE7873" w14:textId="77777777" w:rsidR="00FD7948" w:rsidRDefault="008A0A18" w:rsidP="00EE5D62">
            <w:pPr>
              <w:spacing w:after="0"/>
              <w:rPr>
                <w:b/>
                <w:sz w:val="20"/>
                <w:szCs w:val="20"/>
                <w:u w:val="single"/>
                <w:lang w:eastAsia="ko-KR"/>
              </w:rPr>
            </w:pPr>
            <w:r w:rsidRPr="008A0A18">
              <w:rPr>
                <w:b/>
                <w:sz w:val="20"/>
                <w:szCs w:val="20"/>
                <w:u w:val="single"/>
                <w:lang w:eastAsia="ko-KR"/>
              </w:rPr>
              <w:t>RRM requirements for CG-SDT</w:t>
            </w:r>
          </w:p>
          <w:p w14:paraId="500FC7C8" w14:textId="77777777" w:rsidR="008A0A18" w:rsidRPr="008A0A18" w:rsidRDefault="008A0A18" w:rsidP="008A0A18">
            <w:pPr>
              <w:spacing w:after="0"/>
              <w:rPr>
                <w:rFonts w:eastAsiaTheme="minorEastAsia"/>
                <w:sz w:val="20"/>
                <w:szCs w:val="20"/>
                <w:highlight w:val="green"/>
              </w:rPr>
            </w:pPr>
            <w:r w:rsidRPr="008A0A18">
              <w:rPr>
                <w:rFonts w:eastAsiaTheme="minorEastAsia"/>
                <w:sz w:val="20"/>
                <w:szCs w:val="20"/>
                <w:highlight w:val="green"/>
              </w:rPr>
              <w:t>Agreements:</w:t>
            </w:r>
          </w:p>
          <w:p w14:paraId="08702FD2" w14:textId="77777777" w:rsidR="008A0A18" w:rsidRPr="008A0A18" w:rsidRDefault="008A0A18" w:rsidP="008A0A18">
            <w:pPr>
              <w:numPr>
                <w:ilvl w:val="1"/>
                <w:numId w:val="30"/>
              </w:numPr>
              <w:spacing w:after="0"/>
              <w:rPr>
                <w:rFonts w:eastAsiaTheme="minorEastAsia"/>
                <w:sz w:val="20"/>
                <w:szCs w:val="20"/>
                <w:highlight w:val="green"/>
              </w:rPr>
            </w:pPr>
            <w:r w:rsidRPr="008A0A18">
              <w:rPr>
                <w:rFonts w:eastAsiaTheme="minorEastAsia"/>
                <w:sz w:val="20"/>
                <w:szCs w:val="20"/>
                <w:highlight w:val="green"/>
              </w:rPr>
              <w:t>RAN4 introduce requirements for CG-SDT in a similar approach to LTE PUR</w:t>
            </w:r>
          </w:p>
          <w:p w14:paraId="52E73326" w14:textId="77777777" w:rsidR="008A0A18" w:rsidRPr="008A0A18" w:rsidRDefault="008A0A18" w:rsidP="008A0A18">
            <w:pPr>
              <w:numPr>
                <w:ilvl w:val="1"/>
                <w:numId w:val="30"/>
              </w:numPr>
              <w:spacing w:after="0"/>
              <w:rPr>
                <w:rFonts w:eastAsiaTheme="minorEastAsia"/>
                <w:sz w:val="20"/>
                <w:szCs w:val="20"/>
                <w:highlight w:val="green"/>
              </w:rPr>
            </w:pPr>
            <w:r w:rsidRPr="008A0A18">
              <w:rPr>
                <w:rFonts w:eastAsiaTheme="minorEastAsia"/>
                <w:sz w:val="20"/>
                <w:szCs w:val="20"/>
                <w:highlight w:val="green"/>
              </w:rPr>
              <w:t>RAN4 reuse the existing UE initial transmission requirements for CG-SDT</w:t>
            </w:r>
          </w:p>
          <w:p w14:paraId="19FC27F5" w14:textId="77777777" w:rsidR="008A0A18" w:rsidRPr="008A0A18" w:rsidRDefault="008A0A18" w:rsidP="008A0A18">
            <w:pPr>
              <w:spacing w:after="0"/>
              <w:rPr>
                <w:rFonts w:eastAsiaTheme="minorEastAsia"/>
                <w:sz w:val="20"/>
                <w:szCs w:val="20"/>
              </w:rPr>
            </w:pPr>
            <w:r w:rsidRPr="008A0A18">
              <w:rPr>
                <w:rFonts w:eastAsiaTheme="minorEastAsia"/>
                <w:sz w:val="20"/>
                <w:szCs w:val="20"/>
              </w:rPr>
              <w:t>Issue 2-3-5: If a UE is allowed for CG-SDT transmission, which sync requirements should it satisfy prior to the transmission?</w:t>
            </w:r>
          </w:p>
          <w:p w14:paraId="7995AF1A" w14:textId="77777777" w:rsidR="008A0A18" w:rsidRPr="008A0A18" w:rsidRDefault="008A0A18" w:rsidP="008A0A18">
            <w:pPr>
              <w:numPr>
                <w:ilvl w:val="1"/>
                <w:numId w:val="31"/>
              </w:numPr>
              <w:spacing w:after="0"/>
              <w:rPr>
                <w:rFonts w:eastAsiaTheme="minorEastAsia"/>
                <w:sz w:val="20"/>
                <w:szCs w:val="20"/>
              </w:rPr>
            </w:pPr>
            <w:r w:rsidRPr="008A0A18">
              <w:rPr>
                <w:rFonts w:eastAsiaTheme="minorEastAsia"/>
                <w:sz w:val="20"/>
                <w:szCs w:val="20"/>
              </w:rPr>
              <w:t>Option 1: Existing UE sync requirements towards the serving cell</w:t>
            </w:r>
          </w:p>
          <w:p w14:paraId="7E6B751F" w14:textId="77777777" w:rsidR="008A0A18" w:rsidRPr="008A0A18" w:rsidRDefault="008A0A18" w:rsidP="008A0A18">
            <w:pPr>
              <w:numPr>
                <w:ilvl w:val="1"/>
                <w:numId w:val="31"/>
              </w:numPr>
              <w:spacing w:after="0"/>
              <w:rPr>
                <w:rFonts w:eastAsiaTheme="minorEastAsia"/>
                <w:sz w:val="20"/>
                <w:szCs w:val="20"/>
              </w:rPr>
            </w:pPr>
            <w:r w:rsidRPr="008A0A18">
              <w:rPr>
                <w:rFonts w:eastAsiaTheme="minorEastAsia"/>
                <w:sz w:val="20"/>
                <w:szCs w:val="20"/>
              </w:rPr>
              <w:t>Option 2: New UE sync requirements towards the serving cell for CG-SDT</w:t>
            </w:r>
          </w:p>
          <w:p w14:paraId="7B79300D" w14:textId="77777777" w:rsidR="008A0A18" w:rsidRPr="008A0A18" w:rsidRDefault="008A0A18" w:rsidP="008A0A18">
            <w:pPr>
              <w:numPr>
                <w:ilvl w:val="1"/>
                <w:numId w:val="31"/>
              </w:numPr>
              <w:spacing w:after="0"/>
              <w:rPr>
                <w:rFonts w:eastAsiaTheme="minorEastAsia"/>
                <w:sz w:val="20"/>
                <w:szCs w:val="20"/>
              </w:rPr>
            </w:pPr>
            <w:r w:rsidRPr="008A0A18">
              <w:rPr>
                <w:rFonts w:eastAsiaTheme="minorEastAsia"/>
                <w:sz w:val="20"/>
                <w:szCs w:val="20"/>
              </w:rPr>
              <w:t>Option 3: FFS, but please state factors which make it not clear</w:t>
            </w:r>
          </w:p>
          <w:p w14:paraId="31E52B94" w14:textId="77777777" w:rsidR="008A0A18" w:rsidRPr="008A0A18" w:rsidRDefault="008A0A18" w:rsidP="008A0A18">
            <w:pPr>
              <w:spacing w:after="0"/>
              <w:rPr>
                <w:rFonts w:eastAsiaTheme="minorEastAsia"/>
                <w:sz w:val="20"/>
                <w:szCs w:val="20"/>
                <w:highlight w:val="yellow"/>
              </w:rPr>
            </w:pPr>
            <w:r w:rsidRPr="008A0A18">
              <w:rPr>
                <w:rFonts w:eastAsiaTheme="minorEastAsia"/>
                <w:sz w:val="20"/>
                <w:szCs w:val="20"/>
                <w:highlight w:val="yellow"/>
              </w:rPr>
              <w:t>Agreement:</w:t>
            </w:r>
          </w:p>
          <w:p w14:paraId="3FC5A75B" w14:textId="5C590C0F" w:rsidR="008A0A18" w:rsidRPr="008A0A18" w:rsidRDefault="008A0A18" w:rsidP="008A0A18">
            <w:pPr>
              <w:numPr>
                <w:ilvl w:val="1"/>
                <w:numId w:val="32"/>
              </w:numPr>
              <w:spacing w:after="0"/>
              <w:rPr>
                <w:rFonts w:eastAsiaTheme="minorEastAsia"/>
                <w:sz w:val="20"/>
                <w:szCs w:val="20"/>
                <w:highlight w:val="yellow"/>
              </w:rPr>
            </w:pPr>
            <w:r w:rsidRPr="008A0A18">
              <w:rPr>
                <w:rFonts w:eastAsiaTheme="minorEastAsia"/>
                <w:sz w:val="20"/>
                <w:szCs w:val="20"/>
                <w:highlight w:val="yellow"/>
              </w:rPr>
              <w:t>Continue discussion in the next meeting with the following two options:</w:t>
            </w:r>
          </w:p>
          <w:p w14:paraId="1CB218B1" w14:textId="77777777" w:rsidR="008A0A18" w:rsidRPr="008A0A18" w:rsidRDefault="008A0A18" w:rsidP="008A0A18">
            <w:pPr>
              <w:numPr>
                <w:ilvl w:val="1"/>
                <w:numId w:val="32"/>
              </w:numPr>
              <w:spacing w:after="0"/>
              <w:rPr>
                <w:rFonts w:eastAsiaTheme="minorEastAsia"/>
                <w:sz w:val="20"/>
                <w:szCs w:val="20"/>
                <w:highlight w:val="yellow"/>
              </w:rPr>
            </w:pPr>
            <w:r w:rsidRPr="008A0A18">
              <w:rPr>
                <w:rFonts w:eastAsiaTheme="minorEastAsia"/>
                <w:sz w:val="20"/>
                <w:szCs w:val="20"/>
                <w:highlight w:val="yellow"/>
              </w:rPr>
              <w:t>Option 1</w:t>
            </w:r>
          </w:p>
          <w:p w14:paraId="7769EE7A" w14:textId="77777777" w:rsidR="008A0A18" w:rsidRPr="008A0A18" w:rsidRDefault="008A0A18" w:rsidP="008A0A18">
            <w:pPr>
              <w:numPr>
                <w:ilvl w:val="1"/>
                <w:numId w:val="32"/>
              </w:numPr>
              <w:spacing w:after="0"/>
              <w:rPr>
                <w:rFonts w:eastAsiaTheme="minorEastAsia"/>
                <w:sz w:val="20"/>
                <w:szCs w:val="20"/>
                <w:highlight w:val="yellow"/>
              </w:rPr>
            </w:pPr>
            <w:r w:rsidRPr="008A0A18">
              <w:rPr>
                <w:rFonts w:eastAsiaTheme="minorEastAsia"/>
                <w:sz w:val="20"/>
                <w:szCs w:val="20"/>
                <w:highlight w:val="yellow"/>
              </w:rPr>
              <w:t>Option 3</w:t>
            </w:r>
          </w:p>
          <w:p w14:paraId="6B2CF899" w14:textId="77777777" w:rsidR="008A0A18" w:rsidRPr="008A0A18" w:rsidRDefault="008A0A18" w:rsidP="008A0A18">
            <w:pPr>
              <w:spacing w:after="0"/>
              <w:rPr>
                <w:rFonts w:eastAsiaTheme="minorEastAsia"/>
                <w:sz w:val="20"/>
                <w:szCs w:val="20"/>
              </w:rPr>
            </w:pPr>
            <w:r w:rsidRPr="008A0A18">
              <w:rPr>
                <w:rFonts w:eastAsiaTheme="minorEastAsia"/>
                <w:sz w:val="20"/>
                <w:szCs w:val="20"/>
              </w:rPr>
              <w:t>Issue 2-3-6: Which WG should be responsible to decide the two window sizes and two threshold values for TA validation?</w:t>
            </w:r>
          </w:p>
          <w:p w14:paraId="374A0470" w14:textId="77777777" w:rsidR="008A0A18" w:rsidRPr="008A0A18" w:rsidRDefault="008A0A18" w:rsidP="008A0A18">
            <w:pPr>
              <w:numPr>
                <w:ilvl w:val="1"/>
                <w:numId w:val="33"/>
              </w:numPr>
              <w:spacing w:after="0"/>
              <w:rPr>
                <w:rFonts w:eastAsiaTheme="minorEastAsia"/>
                <w:sz w:val="20"/>
                <w:szCs w:val="20"/>
              </w:rPr>
            </w:pPr>
            <w:r w:rsidRPr="008A0A18">
              <w:rPr>
                <w:rFonts w:eastAsiaTheme="minorEastAsia"/>
                <w:sz w:val="20"/>
                <w:szCs w:val="20"/>
              </w:rPr>
              <w:t>Option 1: RAN4</w:t>
            </w:r>
          </w:p>
          <w:p w14:paraId="2D990418" w14:textId="77777777" w:rsidR="008A0A18" w:rsidRPr="008A0A18" w:rsidRDefault="008A0A18" w:rsidP="008A0A18">
            <w:pPr>
              <w:numPr>
                <w:ilvl w:val="1"/>
                <w:numId w:val="33"/>
              </w:numPr>
              <w:spacing w:after="0"/>
              <w:rPr>
                <w:rFonts w:eastAsiaTheme="minorEastAsia"/>
                <w:sz w:val="20"/>
                <w:szCs w:val="20"/>
              </w:rPr>
            </w:pPr>
            <w:r w:rsidRPr="008A0A18">
              <w:rPr>
                <w:rFonts w:eastAsiaTheme="minorEastAsia"/>
                <w:sz w:val="20"/>
                <w:szCs w:val="20"/>
              </w:rPr>
              <w:t>Option 2: RAN2</w:t>
            </w:r>
          </w:p>
          <w:p w14:paraId="623EEA87" w14:textId="77777777" w:rsidR="008A0A18" w:rsidRPr="008A0A18" w:rsidRDefault="008A0A18" w:rsidP="008A0A18">
            <w:pPr>
              <w:numPr>
                <w:ilvl w:val="1"/>
                <w:numId w:val="33"/>
              </w:numPr>
              <w:spacing w:after="0"/>
              <w:rPr>
                <w:rFonts w:eastAsiaTheme="minorEastAsia"/>
                <w:sz w:val="20"/>
                <w:szCs w:val="20"/>
              </w:rPr>
            </w:pPr>
            <w:r w:rsidRPr="008A0A18">
              <w:rPr>
                <w:rFonts w:eastAsiaTheme="minorEastAsia"/>
                <w:sz w:val="20"/>
                <w:szCs w:val="20"/>
              </w:rPr>
              <w:t>Option 3 (new): RAN4 defined two window sizes and RAN2 defines two thresholds for TA validation.</w:t>
            </w:r>
          </w:p>
          <w:p w14:paraId="35A5D7EB" w14:textId="77777777" w:rsidR="008A0A18" w:rsidRDefault="008A0A18" w:rsidP="008A0A18">
            <w:pPr>
              <w:spacing w:after="0"/>
              <w:rPr>
                <w:rFonts w:eastAsiaTheme="minorEastAsia"/>
                <w:sz w:val="20"/>
                <w:szCs w:val="20"/>
                <w:highlight w:val="green"/>
              </w:rPr>
            </w:pPr>
            <w:r w:rsidRPr="008A0A18">
              <w:rPr>
                <w:rFonts w:eastAsiaTheme="minorEastAsia"/>
                <w:sz w:val="20"/>
                <w:szCs w:val="20"/>
                <w:highlight w:val="green"/>
              </w:rPr>
              <w:t>Agreement:</w:t>
            </w:r>
          </w:p>
          <w:p w14:paraId="11F7F72B" w14:textId="7C86EC48" w:rsidR="008A0A18" w:rsidRPr="008A0A18" w:rsidRDefault="008A0A18" w:rsidP="008A0A18">
            <w:pPr>
              <w:numPr>
                <w:ilvl w:val="1"/>
                <w:numId w:val="33"/>
              </w:numPr>
              <w:spacing w:after="0"/>
              <w:rPr>
                <w:rFonts w:eastAsiaTheme="minorEastAsia"/>
                <w:sz w:val="20"/>
                <w:szCs w:val="20"/>
                <w:highlight w:val="green"/>
              </w:rPr>
            </w:pPr>
            <w:r w:rsidRPr="008A0A18">
              <w:rPr>
                <w:rFonts w:eastAsiaTheme="minorEastAsia"/>
                <w:sz w:val="20"/>
                <w:szCs w:val="20"/>
                <w:highlight w:val="green"/>
              </w:rPr>
              <w:t>Option 3</w:t>
            </w:r>
          </w:p>
          <w:p w14:paraId="45D911FE" w14:textId="4D24A5C3" w:rsidR="008A0A18" w:rsidRPr="008A0A18" w:rsidRDefault="008A0A18" w:rsidP="008A0A18">
            <w:pPr>
              <w:spacing w:after="0"/>
              <w:rPr>
                <w:rFonts w:eastAsiaTheme="minorEastAsia"/>
                <w:sz w:val="20"/>
                <w:szCs w:val="20"/>
                <w:highlight w:val="green"/>
              </w:rPr>
            </w:pPr>
          </w:p>
        </w:tc>
      </w:tr>
    </w:tbl>
    <w:p w14:paraId="0DF42BA3" w14:textId="77777777" w:rsidR="00FD7948" w:rsidRPr="008C22A6" w:rsidRDefault="00FD7948" w:rsidP="008C22A6"/>
    <w:p w14:paraId="5918E334" w14:textId="08D334DD" w:rsidR="00546682" w:rsidRPr="00546682" w:rsidRDefault="00546682" w:rsidP="00546682">
      <w:pPr>
        <w:pStyle w:val="ListParagraph"/>
        <w:numPr>
          <w:ilvl w:val="0"/>
          <w:numId w:val="35"/>
        </w:numPr>
        <w:ind w:firstLineChars="0"/>
        <w:jc w:val="both"/>
        <w:rPr>
          <w:b/>
          <w:bCs/>
          <w:sz w:val="24"/>
          <w:szCs w:val="24"/>
          <w:u w:val="single"/>
        </w:rPr>
      </w:pPr>
      <w:r w:rsidRPr="00546682">
        <w:rPr>
          <w:rFonts w:eastAsiaTheme="minorEastAsia"/>
          <w:b/>
          <w:bCs/>
          <w:sz w:val="24"/>
          <w:szCs w:val="24"/>
          <w:u w:val="single"/>
          <w:lang w:val="en-US"/>
        </w:rPr>
        <w:t>S</w:t>
      </w:r>
      <w:proofErr w:type="spellStart"/>
      <w:r w:rsidRPr="00546682">
        <w:rPr>
          <w:rFonts w:eastAsiaTheme="minorEastAsia"/>
          <w:b/>
          <w:bCs/>
          <w:sz w:val="24"/>
          <w:szCs w:val="24"/>
          <w:u w:val="single"/>
        </w:rPr>
        <w:t>ync</w:t>
      </w:r>
      <w:proofErr w:type="spellEnd"/>
      <w:r w:rsidRPr="00546682">
        <w:rPr>
          <w:rFonts w:eastAsiaTheme="minorEastAsia"/>
          <w:b/>
          <w:bCs/>
          <w:sz w:val="24"/>
          <w:szCs w:val="24"/>
          <w:u w:val="single"/>
        </w:rPr>
        <w:t xml:space="preserve"> requirements for CG-SDT</w:t>
      </w:r>
    </w:p>
    <w:p w14:paraId="747AC014" w14:textId="79E790CB" w:rsidR="009B630A" w:rsidRDefault="00546682" w:rsidP="000A0579">
      <w:pPr>
        <w:jc w:val="both"/>
      </w:pPr>
      <w:r>
        <w:t xml:space="preserve">Regarding the issue 2-3-5 in [1], the synchronization requirement is </w:t>
      </w:r>
      <w:r w:rsidR="00F91A71">
        <w:t>a side condition</w:t>
      </w:r>
      <w:r>
        <w:t xml:space="preserve"> to</w:t>
      </w:r>
      <w:r w:rsidR="00F91A71">
        <w:t xml:space="preserve"> apply the CG-SDT</w:t>
      </w:r>
      <w:r w:rsidR="002533F4">
        <w:t xml:space="preserve"> transmission, i.e., </w:t>
      </w:r>
      <w:r w:rsidR="002533F4" w:rsidRPr="00691C10">
        <w:t xml:space="preserve">UE is allowed to transmit using the </w:t>
      </w:r>
      <w:r w:rsidR="002533F4">
        <w:t xml:space="preserve">CG based </w:t>
      </w:r>
      <w:r w:rsidR="002533F4" w:rsidRPr="00691C10">
        <w:t>uplink resources provided that the UE is synchronized towards the serving cell prior to transmission</w:t>
      </w:r>
      <w:r w:rsidR="002533F4">
        <w:t>. In existing TS38.133, the serving cell synchronization availability is defined as:</w:t>
      </w:r>
    </w:p>
    <w:tbl>
      <w:tblPr>
        <w:tblStyle w:val="TableGrid"/>
        <w:tblW w:w="0" w:type="auto"/>
        <w:tblLook w:val="04A0" w:firstRow="1" w:lastRow="0" w:firstColumn="1" w:lastColumn="0" w:noHBand="0" w:noVBand="1"/>
      </w:tblPr>
      <w:tblGrid>
        <w:gridCol w:w="9629"/>
      </w:tblGrid>
      <w:tr w:rsidR="002533F4" w:rsidRPr="002533F4" w14:paraId="10E2B62E" w14:textId="77777777" w:rsidTr="002533F4">
        <w:tc>
          <w:tcPr>
            <w:tcW w:w="9629" w:type="dxa"/>
          </w:tcPr>
          <w:p w14:paraId="21550690" w14:textId="77777777" w:rsidR="002533F4" w:rsidRPr="002533F4" w:rsidRDefault="002533F4" w:rsidP="002533F4">
            <w:pPr>
              <w:pStyle w:val="Heading3"/>
              <w:outlineLvl w:val="2"/>
              <w:rPr>
                <w:sz w:val="20"/>
              </w:rPr>
            </w:pPr>
            <w:r w:rsidRPr="002533F4">
              <w:rPr>
                <w:sz w:val="20"/>
              </w:rPr>
              <w:lastRenderedPageBreak/>
              <w:t>7.1.2</w:t>
            </w:r>
            <w:r w:rsidRPr="002533F4">
              <w:rPr>
                <w:sz w:val="20"/>
              </w:rPr>
              <w:tab/>
              <w:t>Requirements</w:t>
            </w:r>
          </w:p>
          <w:p w14:paraId="55E99196" w14:textId="77777777" w:rsidR="002533F4" w:rsidRPr="002533F4" w:rsidRDefault="002533F4" w:rsidP="002533F4">
            <w:pPr>
              <w:rPr>
                <w:rFonts w:cs="v4.2.0"/>
                <w:sz w:val="20"/>
                <w:szCs w:val="20"/>
              </w:rPr>
            </w:pPr>
            <w:r w:rsidRPr="002533F4">
              <w:rPr>
                <w:rFonts w:cs="v4.2.0"/>
                <w:sz w:val="20"/>
                <w:szCs w:val="20"/>
              </w:rPr>
              <w:t xml:space="preserve">The UE initial transmission timing error shall be less than or equal to </w:t>
            </w:r>
            <w:r w:rsidRPr="002533F4">
              <w:rPr>
                <w:rFonts w:cs="v4.2.0"/>
                <w:sz w:val="20"/>
                <w:szCs w:val="20"/>
              </w:rPr>
              <w:sym w:font="Symbol" w:char="F0B1"/>
            </w:r>
            <w:proofErr w:type="spellStart"/>
            <w:r w:rsidRPr="002533F4">
              <w:rPr>
                <w:rFonts w:cs="v4.2.0"/>
                <w:sz w:val="20"/>
                <w:szCs w:val="20"/>
              </w:rPr>
              <w:t>T</w:t>
            </w:r>
            <w:r w:rsidRPr="002533F4">
              <w:rPr>
                <w:rFonts w:cs="v4.2.0"/>
                <w:sz w:val="20"/>
                <w:szCs w:val="20"/>
                <w:vertAlign w:val="subscript"/>
              </w:rPr>
              <w:t>e</w:t>
            </w:r>
            <w:proofErr w:type="spellEnd"/>
            <w:r w:rsidRPr="002533F4">
              <w:rPr>
                <w:sz w:val="20"/>
                <w:szCs w:val="20"/>
              </w:rPr>
              <w:t xml:space="preserve"> where the timing error limit value </w:t>
            </w:r>
            <w:proofErr w:type="spellStart"/>
            <w:r w:rsidRPr="002533F4">
              <w:rPr>
                <w:rFonts w:cs="v4.2.0"/>
                <w:sz w:val="20"/>
                <w:szCs w:val="20"/>
              </w:rPr>
              <w:t>T</w:t>
            </w:r>
            <w:r w:rsidRPr="002533F4">
              <w:rPr>
                <w:rFonts w:cs="v4.2.0"/>
                <w:sz w:val="20"/>
                <w:szCs w:val="20"/>
                <w:vertAlign w:val="subscript"/>
              </w:rPr>
              <w:t>e</w:t>
            </w:r>
            <w:proofErr w:type="spellEnd"/>
            <w:r w:rsidRPr="002533F4">
              <w:rPr>
                <w:sz w:val="20"/>
                <w:szCs w:val="20"/>
              </w:rPr>
              <w:t xml:space="preserve"> is specified in Table 7.1.2-1</w:t>
            </w:r>
            <w:r w:rsidRPr="002533F4">
              <w:rPr>
                <w:rFonts w:cs="v4.2.0"/>
                <w:sz w:val="20"/>
                <w:szCs w:val="20"/>
              </w:rPr>
              <w:t>. This requirement applies:</w:t>
            </w:r>
          </w:p>
          <w:p w14:paraId="7C830812" w14:textId="77777777" w:rsidR="002533F4" w:rsidRPr="002533F4" w:rsidRDefault="002533F4" w:rsidP="002533F4">
            <w:pPr>
              <w:pStyle w:val="B1"/>
              <w:rPr>
                <w:sz w:val="20"/>
                <w:szCs w:val="20"/>
              </w:rPr>
            </w:pPr>
            <w:r w:rsidRPr="002533F4">
              <w:rPr>
                <w:noProof/>
                <w:sz w:val="20"/>
                <w:szCs w:val="20"/>
                <w:lang w:eastAsia="ko-KR"/>
              </w:rPr>
              <w:t>-</w:t>
            </w:r>
            <w:r w:rsidRPr="002533F4">
              <w:rPr>
                <w:noProof/>
                <w:sz w:val="20"/>
                <w:szCs w:val="20"/>
                <w:lang w:eastAsia="ko-KR"/>
              </w:rPr>
              <w:tab/>
            </w:r>
            <w:r w:rsidRPr="002533F4">
              <w:rPr>
                <w:sz w:val="20"/>
                <w:szCs w:val="20"/>
              </w:rPr>
              <w:t xml:space="preserve">when it is the first transmission in a DRX cycle for PUCCH, PUSCH and SRS, or it is the PRACH transmission, or it is the </w:t>
            </w:r>
            <w:proofErr w:type="spellStart"/>
            <w:r w:rsidRPr="002533F4">
              <w:rPr>
                <w:sz w:val="20"/>
                <w:szCs w:val="20"/>
              </w:rPr>
              <w:t>msgA</w:t>
            </w:r>
            <w:proofErr w:type="spellEnd"/>
            <w:r w:rsidRPr="002533F4">
              <w:rPr>
                <w:sz w:val="20"/>
                <w:szCs w:val="20"/>
              </w:rPr>
              <w:t xml:space="preserve"> </w:t>
            </w:r>
            <w:proofErr w:type="gramStart"/>
            <w:r w:rsidRPr="002533F4">
              <w:rPr>
                <w:sz w:val="20"/>
                <w:szCs w:val="20"/>
              </w:rPr>
              <w:t>transmission..</w:t>
            </w:r>
            <w:proofErr w:type="gramEnd"/>
          </w:p>
          <w:p w14:paraId="7F1983D0" w14:textId="291B4F76" w:rsidR="002533F4" w:rsidRPr="002533F4" w:rsidRDefault="002533F4" w:rsidP="002533F4">
            <w:pPr>
              <w:rPr>
                <w:rFonts w:cs="v4.2.0"/>
                <w:sz w:val="20"/>
                <w:szCs w:val="20"/>
              </w:rPr>
            </w:pPr>
            <w:r w:rsidRPr="002533F4">
              <w:rPr>
                <w:rFonts w:cs="v4.2.0"/>
                <w:sz w:val="20"/>
                <w:szCs w:val="20"/>
                <w:highlight w:val="yellow"/>
              </w:rPr>
              <w:t xml:space="preserve">The UE shall meet the </w:t>
            </w:r>
            <w:proofErr w:type="spellStart"/>
            <w:r w:rsidRPr="002533F4">
              <w:rPr>
                <w:rFonts w:cs="v4.2.0"/>
                <w:sz w:val="20"/>
                <w:szCs w:val="20"/>
                <w:highlight w:val="yellow"/>
              </w:rPr>
              <w:t>Te</w:t>
            </w:r>
            <w:proofErr w:type="spellEnd"/>
            <w:r w:rsidRPr="002533F4">
              <w:rPr>
                <w:rFonts w:cs="v4.2.0"/>
                <w:sz w:val="20"/>
                <w:szCs w:val="20"/>
                <w:highlight w:val="yellow"/>
              </w:rPr>
              <w:t xml:space="preserve"> requirement for an initial transmission provided that at least one SSB is available at the UE during the last 160 </w:t>
            </w:r>
            <w:proofErr w:type="spellStart"/>
            <w:r w:rsidRPr="002533F4">
              <w:rPr>
                <w:rFonts w:cs="v4.2.0"/>
                <w:sz w:val="20"/>
                <w:szCs w:val="20"/>
                <w:highlight w:val="yellow"/>
              </w:rPr>
              <w:t>ms.</w:t>
            </w:r>
            <w:proofErr w:type="spellEnd"/>
            <w:r w:rsidRPr="002533F4">
              <w:rPr>
                <w:rFonts w:cs="v4.2.0"/>
                <w:sz w:val="20"/>
                <w:szCs w:val="20"/>
              </w:rPr>
              <w:t xml:space="preserve"> The reference point for the UE initial transmit timing control requirement shall be the downlink timing of the reference cell minus </w:t>
            </w:r>
            <w:r w:rsidRPr="002533F4">
              <w:rPr>
                <w:noProof/>
                <w:position w:val="-10"/>
                <w:sz w:val="20"/>
                <w:szCs w:val="20"/>
              </w:rPr>
              <w:drawing>
                <wp:inline distT="0" distB="0" distL="0" distR="0" wp14:anchorId="3CD893C6" wp14:editId="5BA9DC82">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2533F4">
              <w:rPr>
                <w:rFonts w:cs="v4.2.0"/>
                <w:sz w:val="20"/>
                <w:szCs w:val="20"/>
              </w:rPr>
              <w:t xml:space="preserve">. The downlink timing is defined as the time when the first detected path (in time) of the corresponding downlink frame is received </w:t>
            </w:r>
            <w:r w:rsidRPr="002533F4">
              <w:rPr>
                <w:sz w:val="20"/>
                <w:szCs w:val="20"/>
              </w:rPr>
              <w:t xml:space="preserve">from the reference cell. </w:t>
            </w:r>
            <w:r w:rsidRPr="002533F4">
              <w:rPr>
                <w:rFonts w:cs="v4.2.0"/>
                <w:i/>
                <w:sz w:val="20"/>
                <w:szCs w:val="20"/>
              </w:rPr>
              <w:t>N</w:t>
            </w:r>
            <w:r w:rsidRPr="002533F4">
              <w:rPr>
                <w:rFonts w:cs="v4.2.0"/>
                <w:sz w:val="20"/>
                <w:szCs w:val="20"/>
                <w:vertAlign w:val="subscript"/>
              </w:rPr>
              <w:t>TA</w:t>
            </w:r>
            <w:r w:rsidRPr="002533F4">
              <w:rPr>
                <w:rFonts w:cs="v4.2.0"/>
                <w:sz w:val="20"/>
                <w:szCs w:val="20"/>
              </w:rPr>
              <w:t xml:space="preserve"> for PRACH is defined as 0.</w:t>
            </w:r>
          </w:p>
        </w:tc>
      </w:tr>
    </w:tbl>
    <w:p w14:paraId="630CB779" w14:textId="6FA03BEE" w:rsidR="002533F4" w:rsidRDefault="002533F4" w:rsidP="000A0579">
      <w:pPr>
        <w:jc w:val="both"/>
        <w:rPr>
          <w:b/>
          <w:bCs/>
          <w:i/>
          <w:iCs/>
        </w:rPr>
      </w:pPr>
    </w:p>
    <w:p w14:paraId="2EFB9E02" w14:textId="33886DAA" w:rsidR="00B257A4" w:rsidRDefault="002533F4" w:rsidP="00DF5A5A">
      <w:pPr>
        <w:jc w:val="both"/>
        <w:rPr>
          <w:rFonts w:cs="v4.2.0"/>
        </w:rPr>
      </w:pPr>
      <w:r>
        <w:t xml:space="preserve">In order to </w:t>
      </w:r>
      <w:r w:rsidR="00104727">
        <w:t>guarantee</w:t>
      </w:r>
      <w:r>
        <w:t xml:space="preserve"> t</w:t>
      </w:r>
      <w:r w:rsidR="00104727">
        <w:t>hat UE could have chance to synchronize with SSB for uplink transmission timing d</w:t>
      </w:r>
      <w:r w:rsidR="00B257A4">
        <w:t>e</w:t>
      </w:r>
      <w:r w:rsidR="00104727">
        <w:t>ri</w:t>
      </w:r>
      <w:r w:rsidR="00B257A4">
        <w:t>vi</w:t>
      </w:r>
      <w:r w:rsidR="00104727">
        <w:t>ng</w:t>
      </w:r>
      <w:r w:rsidR="00B257A4">
        <w:t>, the existing serving cell availability requirement could be used for CG-SDT transmissi</w:t>
      </w:r>
      <w:r w:rsidR="00B257A4" w:rsidRPr="00B257A4">
        <w:t>on as well, i.e., if</w:t>
      </w:r>
      <w:r w:rsidR="00B257A4" w:rsidRPr="00B257A4">
        <w:rPr>
          <w:rFonts w:cs="v4.2.0"/>
        </w:rPr>
        <w:t xml:space="preserve"> no SSB is available at the UE during the last </w:t>
      </w:r>
      <w:r w:rsidR="00B257A4">
        <w:rPr>
          <w:rFonts w:cs="v4.2.0"/>
        </w:rPr>
        <w:t>160</w:t>
      </w:r>
      <w:r w:rsidR="00B257A4" w:rsidRPr="00B257A4">
        <w:rPr>
          <w:rFonts w:cs="v4.2.0"/>
        </w:rPr>
        <w:t xml:space="preserve"> </w:t>
      </w:r>
      <w:proofErr w:type="spellStart"/>
      <w:r w:rsidR="00B257A4" w:rsidRPr="00B257A4">
        <w:rPr>
          <w:rFonts w:cs="v4.2.0"/>
        </w:rPr>
        <w:t>ms</w:t>
      </w:r>
      <w:proofErr w:type="spellEnd"/>
      <w:r w:rsidR="00B257A4" w:rsidRPr="00B257A4">
        <w:rPr>
          <w:rFonts w:cs="v4.2.0"/>
        </w:rPr>
        <w:t xml:space="preserve"> then the UE shall drop the CG-SDT transmission</w:t>
      </w:r>
      <w:r w:rsidR="00B377A8">
        <w:rPr>
          <w:rFonts w:cs="v4.2.0"/>
        </w:rPr>
        <w:t xml:space="preserve"> (e.g., SSB is colliding with paging occasion, and UE is not able to receive SSB and paging simultaneously due to mixed numerology or beam sweeping)</w:t>
      </w:r>
      <w:r w:rsidR="00B257A4">
        <w:rPr>
          <w:rFonts w:cs="v4.2.0"/>
        </w:rPr>
        <w:t>.</w:t>
      </w:r>
    </w:p>
    <w:p w14:paraId="46AE3F33" w14:textId="25BB4FAF" w:rsidR="00B257A4" w:rsidRDefault="00B257A4" w:rsidP="00DF5A5A">
      <w:pPr>
        <w:jc w:val="both"/>
        <w:rPr>
          <w:rFonts w:cs="v4.2.0"/>
        </w:rPr>
      </w:pPr>
    </w:p>
    <w:p w14:paraId="1DECC358" w14:textId="4A6CC172" w:rsidR="00B257A4" w:rsidRPr="00B377A8" w:rsidRDefault="00B257A4" w:rsidP="00DF5A5A">
      <w:pPr>
        <w:jc w:val="both"/>
        <w:rPr>
          <w:rFonts w:cs="v4.2.0"/>
          <w:b/>
          <w:bCs/>
          <w:i/>
          <w:iCs/>
        </w:rPr>
      </w:pPr>
      <w:r w:rsidRPr="00B377A8">
        <w:rPr>
          <w:rFonts w:cs="v4.2.0"/>
          <w:b/>
          <w:bCs/>
          <w:i/>
          <w:iCs/>
        </w:rPr>
        <w:t>Proposal 1:</w:t>
      </w:r>
      <w:r w:rsidRPr="00B377A8">
        <w:rPr>
          <w:b/>
          <w:bCs/>
          <w:i/>
          <w:iCs/>
        </w:rPr>
        <w:t xml:space="preserve"> The UE is allowed to transmit CG-SDT provided that the UE </w:t>
      </w:r>
      <w:r w:rsidR="00B377A8" w:rsidRPr="00B377A8">
        <w:rPr>
          <w:b/>
          <w:bCs/>
          <w:i/>
          <w:iCs/>
        </w:rPr>
        <w:t>meets the e</w:t>
      </w:r>
      <w:r w:rsidR="008A0A18" w:rsidRPr="008A0A18">
        <w:rPr>
          <w:b/>
          <w:bCs/>
          <w:i/>
          <w:iCs/>
        </w:rPr>
        <w:t>xisting sync requirements towards the serving cell</w:t>
      </w:r>
      <w:r w:rsidR="00B377A8" w:rsidRPr="00B377A8">
        <w:rPr>
          <w:b/>
          <w:bCs/>
          <w:i/>
          <w:iCs/>
        </w:rPr>
        <w:t xml:space="preserve"> </w:t>
      </w:r>
      <w:r w:rsidRPr="00B377A8">
        <w:rPr>
          <w:b/>
          <w:bCs/>
          <w:i/>
          <w:iCs/>
        </w:rPr>
        <w:t>prior to transmission</w:t>
      </w:r>
      <w:r w:rsidR="00B377A8" w:rsidRPr="00B377A8">
        <w:rPr>
          <w:b/>
          <w:bCs/>
          <w:i/>
          <w:iCs/>
        </w:rPr>
        <w:t>, and if</w:t>
      </w:r>
      <w:r w:rsidR="00B377A8" w:rsidRPr="00B377A8">
        <w:rPr>
          <w:rFonts w:cs="v4.2.0"/>
          <w:b/>
          <w:bCs/>
          <w:i/>
          <w:iCs/>
        </w:rPr>
        <w:t xml:space="preserve"> no SSB is available at the UE during the last 160 </w:t>
      </w:r>
      <w:proofErr w:type="spellStart"/>
      <w:r w:rsidR="00B377A8" w:rsidRPr="00B377A8">
        <w:rPr>
          <w:rFonts w:cs="v4.2.0"/>
          <w:b/>
          <w:bCs/>
          <w:i/>
          <w:iCs/>
        </w:rPr>
        <w:t>ms</w:t>
      </w:r>
      <w:proofErr w:type="spellEnd"/>
      <w:r w:rsidR="00B377A8" w:rsidRPr="00B377A8">
        <w:rPr>
          <w:rFonts w:cs="v4.2.0"/>
          <w:b/>
          <w:bCs/>
          <w:i/>
          <w:iCs/>
        </w:rPr>
        <w:t xml:space="preserve"> then the UE shall drop the CG-SDT transmission.</w:t>
      </w:r>
    </w:p>
    <w:p w14:paraId="04BD20C5" w14:textId="77777777" w:rsidR="00B257A4" w:rsidRDefault="00B257A4" w:rsidP="00DF5A5A">
      <w:pPr>
        <w:jc w:val="both"/>
      </w:pPr>
    </w:p>
    <w:p w14:paraId="7128038F" w14:textId="3DBA89ED" w:rsidR="002533F4" w:rsidRPr="00B377A8" w:rsidRDefault="00B377A8" w:rsidP="00DF5A5A">
      <w:pPr>
        <w:pStyle w:val="ListParagraph"/>
        <w:numPr>
          <w:ilvl w:val="0"/>
          <w:numId w:val="35"/>
        </w:numPr>
        <w:ind w:firstLineChars="0"/>
        <w:jc w:val="both"/>
        <w:rPr>
          <w:rFonts w:eastAsiaTheme="minorEastAsia"/>
          <w:b/>
          <w:bCs/>
          <w:sz w:val="24"/>
          <w:szCs w:val="24"/>
          <w:u w:val="single"/>
          <w:lang w:val="en-US"/>
        </w:rPr>
      </w:pPr>
      <w:r w:rsidRPr="00B377A8">
        <w:rPr>
          <w:rFonts w:eastAsiaTheme="minorEastAsia"/>
          <w:b/>
          <w:bCs/>
          <w:sz w:val="24"/>
          <w:szCs w:val="24"/>
          <w:u w:val="single"/>
          <w:lang w:val="en-US"/>
        </w:rPr>
        <w:t xml:space="preserve">Measurement window for </w:t>
      </w:r>
      <w:r w:rsidRPr="008A0A18">
        <w:rPr>
          <w:rFonts w:eastAsiaTheme="minorEastAsia"/>
          <w:b/>
          <w:bCs/>
          <w:sz w:val="24"/>
          <w:szCs w:val="24"/>
          <w:u w:val="single"/>
          <w:lang w:val="en-US"/>
        </w:rPr>
        <w:t>TA validation</w:t>
      </w:r>
    </w:p>
    <w:p w14:paraId="5EE54CAF" w14:textId="3C1BEC84" w:rsidR="008A0A18" w:rsidRDefault="0094703A" w:rsidP="00DF5A5A">
      <w:pPr>
        <w:jc w:val="both"/>
      </w:pPr>
      <w:r w:rsidRPr="0094703A">
        <w:t>RAN4 agreed to</w:t>
      </w:r>
      <w:r>
        <w:t xml:space="preserve"> </w:t>
      </w:r>
      <w:r w:rsidR="008A0A18" w:rsidRPr="008A0A18">
        <w:t>introduce requirements for CG-SDT in a similar approach to LTE PUR</w:t>
      </w:r>
      <w:r>
        <w:t xml:space="preserve">. In LTE PUR, the </w:t>
      </w:r>
      <w:r w:rsidR="00DF5A5A">
        <w:t xml:space="preserve">threshold of </w:t>
      </w:r>
      <w:r w:rsidR="00DF5A5A" w:rsidRPr="00DF5A5A">
        <w:t xml:space="preserve">RSRP change </w:t>
      </w:r>
      <w:r w:rsidR="00DF5A5A">
        <w:t>was also used for TA validation, e.g., for NB-IoT, as duplicated below,</w:t>
      </w:r>
    </w:p>
    <w:tbl>
      <w:tblPr>
        <w:tblStyle w:val="TableGrid"/>
        <w:tblW w:w="0" w:type="auto"/>
        <w:tblLook w:val="04A0" w:firstRow="1" w:lastRow="0" w:firstColumn="1" w:lastColumn="0" w:noHBand="0" w:noVBand="1"/>
      </w:tblPr>
      <w:tblGrid>
        <w:gridCol w:w="9629"/>
      </w:tblGrid>
      <w:tr w:rsidR="00DF5A5A" w14:paraId="652238AF" w14:textId="77777777" w:rsidTr="00DF5A5A">
        <w:tc>
          <w:tcPr>
            <w:tcW w:w="9629" w:type="dxa"/>
          </w:tcPr>
          <w:p w14:paraId="5627C7AF" w14:textId="77777777" w:rsidR="00DF5A5A" w:rsidRPr="00DF5A5A" w:rsidRDefault="00DF5A5A" w:rsidP="00DF5A5A">
            <w:pPr>
              <w:pStyle w:val="Heading4"/>
              <w:spacing w:before="0" w:after="0"/>
              <w:outlineLvl w:val="3"/>
              <w:rPr>
                <w:sz w:val="20"/>
              </w:rPr>
            </w:pPr>
            <w:r w:rsidRPr="00DF5A5A">
              <w:rPr>
                <w:sz w:val="20"/>
              </w:rPr>
              <w:lastRenderedPageBreak/>
              <w:t>4.6.3.3</w:t>
            </w:r>
            <w:r w:rsidRPr="00DF5A5A">
              <w:rPr>
                <w:sz w:val="20"/>
              </w:rPr>
              <w:tab/>
              <w:t>Requirements on TA validation for transmission using PUR</w:t>
            </w:r>
          </w:p>
          <w:p w14:paraId="4F247770" w14:textId="77777777" w:rsidR="00DF5A5A" w:rsidRPr="00DF5A5A" w:rsidRDefault="00DF5A5A" w:rsidP="00DF5A5A">
            <w:pPr>
              <w:spacing w:after="0"/>
              <w:rPr>
                <w:iCs/>
                <w:sz w:val="20"/>
                <w:szCs w:val="20"/>
              </w:rPr>
            </w:pPr>
            <w:r w:rsidRPr="00DF5A5A">
              <w:rPr>
                <w:iCs/>
                <w:sz w:val="20"/>
                <w:szCs w:val="20"/>
              </w:rPr>
              <w:t>When only</w:t>
            </w:r>
            <w:r w:rsidRPr="00DF5A5A">
              <w:rPr>
                <w:sz w:val="20"/>
                <w:szCs w:val="20"/>
              </w:rPr>
              <w:t xml:space="preserve"> </w:t>
            </w:r>
            <w:r w:rsidRPr="00DF5A5A">
              <w:rPr>
                <w:i/>
                <w:sz w:val="20"/>
                <w:szCs w:val="20"/>
              </w:rPr>
              <w:t>NRSRP-ChangeThresh-NB-r16</w:t>
            </w:r>
            <w:r w:rsidRPr="00DF5A5A">
              <w:rPr>
                <w:iCs/>
                <w:sz w:val="20"/>
                <w:szCs w:val="20"/>
              </w:rPr>
              <w:t xml:space="preserve"> [TS 36.331] is configured for TA validation based on NRSRP change criterion according to clause 5.3.3.19 in [TS 36.331], with or without other TA validation criteria, the UE is allowed to transmit using PUR using the timing derived using the latest available </w:t>
            </w:r>
            <m:oMath>
              <m:sSub>
                <m:sSubPr>
                  <m:ctrlPr>
                    <w:rPr>
                      <w:rFonts w:ascii="Cambria Math" w:hAnsi="Cambria Math"/>
                      <w:i/>
                      <w:sz w:val="20"/>
                      <w:szCs w:val="20"/>
                    </w:rPr>
                  </m:ctrlPr>
                </m:sSubPr>
                <m:e>
                  <m:r>
                    <w:rPr>
                      <w:rFonts w:ascii="Cambria Math"/>
                      <w:sz w:val="20"/>
                      <w:szCs w:val="20"/>
                    </w:rPr>
                    <m:t>N</m:t>
                  </m:r>
                </m:e>
                <m:sub>
                  <m:r>
                    <m:rPr>
                      <m:nor/>
                    </m:rPr>
                    <w:rPr>
                      <w:rFonts w:ascii="Cambria Math"/>
                      <w:sz w:val="20"/>
                      <w:szCs w:val="20"/>
                    </w:rPr>
                    <m:t>TA</m:t>
                  </m:r>
                  <m:ctrlPr>
                    <w:rPr>
                      <w:rFonts w:ascii="Cambria Math" w:hAnsi="Cambria Math"/>
                      <w:sz w:val="20"/>
                      <w:szCs w:val="20"/>
                    </w:rPr>
                  </m:ctrlPr>
                </m:sub>
              </m:sSub>
            </m:oMath>
            <w:r w:rsidRPr="00DF5A5A">
              <w:rPr>
                <w:iCs/>
                <w:sz w:val="20"/>
                <w:szCs w:val="20"/>
              </w:rPr>
              <w:t xml:space="preserve"> value as specified in subclause 7.20 provided that</w:t>
            </w:r>
          </w:p>
          <w:p w14:paraId="4506EEFC" w14:textId="77777777" w:rsidR="00DF5A5A" w:rsidRPr="00DF5A5A" w:rsidRDefault="00DF5A5A" w:rsidP="00DF5A5A">
            <w:pPr>
              <w:pStyle w:val="B1"/>
              <w:spacing w:after="0"/>
              <w:rPr>
                <w:sz w:val="20"/>
                <w:szCs w:val="20"/>
              </w:rPr>
            </w:pPr>
            <w:r w:rsidRPr="00DF5A5A">
              <w:rPr>
                <w:sz w:val="20"/>
                <w:szCs w:val="20"/>
              </w:rPr>
              <w:t>-</w:t>
            </w:r>
            <w:r w:rsidRPr="00DF5A5A">
              <w:rPr>
                <w:sz w:val="20"/>
                <w:szCs w:val="20"/>
              </w:rPr>
              <w:tab/>
              <w:t>the first NRSRP (NRSRP</w:t>
            </w:r>
            <w:r w:rsidRPr="00DF5A5A">
              <w:rPr>
                <w:sz w:val="20"/>
                <w:szCs w:val="20"/>
                <w:vertAlign w:val="subscript"/>
              </w:rPr>
              <w:t>1</w:t>
            </w:r>
            <w:r w:rsidRPr="00DF5A5A">
              <w:rPr>
                <w:sz w:val="20"/>
                <w:szCs w:val="20"/>
              </w:rPr>
              <w:t>) measurement and the second NRSRP (NRSRP</w:t>
            </w:r>
            <w:r w:rsidRPr="00DF5A5A">
              <w:rPr>
                <w:sz w:val="20"/>
                <w:szCs w:val="20"/>
                <w:vertAlign w:val="subscript"/>
              </w:rPr>
              <w:t>2</w:t>
            </w:r>
            <w:r w:rsidRPr="00DF5A5A">
              <w:rPr>
                <w:sz w:val="20"/>
                <w:szCs w:val="20"/>
              </w:rPr>
              <w:t xml:space="preserve">) measurements used in the TA validation are valid measurements and, </w:t>
            </w:r>
          </w:p>
          <w:p w14:paraId="360B1795" w14:textId="77777777" w:rsidR="00DF5A5A" w:rsidRPr="00DF5A5A" w:rsidRDefault="00DF5A5A" w:rsidP="00DF5A5A">
            <w:pPr>
              <w:pStyle w:val="B1"/>
              <w:spacing w:after="0"/>
              <w:rPr>
                <w:i/>
                <w:sz w:val="20"/>
                <w:szCs w:val="20"/>
              </w:rPr>
            </w:pPr>
            <w:r w:rsidRPr="00DF5A5A">
              <w:rPr>
                <w:sz w:val="20"/>
                <w:szCs w:val="20"/>
              </w:rPr>
              <w:t>-</w:t>
            </w:r>
            <w:r w:rsidRPr="00DF5A5A">
              <w:rPr>
                <w:sz w:val="20"/>
                <w:szCs w:val="20"/>
              </w:rPr>
              <w:tab/>
              <w:t>timing alignment validation for transmission using PUR is valid according to the validation criteria in section 5.3.3.19 in [TS 36.331] for all configured TA validation criteria.</w:t>
            </w:r>
            <w:r w:rsidRPr="00DF5A5A">
              <w:rPr>
                <w:i/>
                <w:sz w:val="20"/>
                <w:szCs w:val="20"/>
              </w:rPr>
              <w:t xml:space="preserve"> </w:t>
            </w:r>
          </w:p>
          <w:p w14:paraId="62948765" w14:textId="77777777" w:rsidR="00DF5A5A" w:rsidRPr="00DF5A5A" w:rsidRDefault="00DF5A5A" w:rsidP="00DF5A5A">
            <w:pPr>
              <w:spacing w:after="0"/>
              <w:rPr>
                <w:sz w:val="20"/>
                <w:szCs w:val="20"/>
              </w:rPr>
            </w:pPr>
            <w:r w:rsidRPr="00DF5A5A">
              <w:rPr>
                <w:iCs/>
                <w:sz w:val="20"/>
                <w:szCs w:val="20"/>
              </w:rPr>
              <w:t>NRSRP</w:t>
            </w:r>
            <w:r w:rsidRPr="00DF5A5A">
              <w:rPr>
                <w:iCs/>
                <w:sz w:val="20"/>
                <w:szCs w:val="20"/>
                <w:vertAlign w:val="subscript"/>
              </w:rPr>
              <w:t>1</w:t>
            </w:r>
            <w:r w:rsidRPr="00DF5A5A">
              <w:rPr>
                <w:iCs/>
                <w:sz w:val="20"/>
                <w:szCs w:val="20"/>
              </w:rPr>
              <w:t xml:space="preserve"> </w:t>
            </w:r>
            <w:r w:rsidRPr="00DF5A5A">
              <w:rPr>
                <w:sz w:val="20"/>
                <w:szCs w:val="20"/>
              </w:rPr>
              <w:t>is considered valid provided that the following condition is met when in normal coverage:</w:t>
            </w:r>
          </w:p>
          <w:p w14:paraId="771B067A" w14:textId="77777777" w:rsidR="00DF5A5A" w:rsidRPr="00DF5A5A" w:rsidRDefault="00DF5A5A" w:rsidP="00DF5A5A">
            <w:pPr>
              <w:spacing w:after="0"/>
              <w:jc w:val="center"/>
              <w:rPr>
                <w:i/>
                <w:iCs/>
                <w:sz w:val="20"/>
                <w:szCs w:val="20"/>
                <w:lang w:val="fr-FR"/>
              </w:rPr>
            </w:pPr>
            <w:r w:rsidRPr="00DF5A5A">
              <w:rPr>
                <w:i/>
                <w:iCs/>
                <w:sz w:val="20"/>
                <w:szCs w:val="20"/>
                <w:lang w:val="fr-FR"/>
              </w:rPr>
              <w:t>(T1 – min(800 ms, N</w:t>
            </w:r>
            <w:r w:rsidRPr="00DF5A5A">
              <w:rPr>
                <w:i/>
                <w:iCs/>
                <w:sz w:val="20"/>
                <w:szCs w:val="20"/>
              </w:rPr>
              <w:sym w:font="Symbol" w:char="F0B4"/>
            </w:r>
            <w:r w:rsidRPr="00DF5A5A">
              <w:rPr>
                <w:i/>
                <w:iCs/>
                <w:sz w:val="20"/>
                <w:szCs w:val="20"/>
                <w:lang w:val="fr-FR"/>
              </w:rPr>
              <w:t xml:space="preserve"> DRX cycle)) </w:t>
            </w:r>
            <w:proofErr w:type="gramStart"/>
            <w:r w:rsidRPr="00DF5A5A">
              <w:rPr>
                <w:i/>
                <w:iCs/>
                <w:sz w:val="20"/>
                <w:szCs w:val="20"/>
                <w:lang w:val="fr-FR"/>
              </w:rPr>
              <w:t>≤  T</w:t>
            </w:r>
            <w:proofErr w:type="gramEnd"/>
            <w:r w:rsidRPr="00DF5A5A">
              <w:rPr>
                <w:i/>
                <w:iCs/>
                <w:sz w:val="20"/>
                <w:szCs w:val="20"/>
                <w:lang w:val="fr-FR"/>
              </w:rPr>
              <w:t>1’ ≤  (T1 + min(800 ms, N</w:t>
            </w:r>
            <w:r w:rsidRPr="00DF5A5A">
              <w:rPr>
                <w:i/>
                <w:iCs/>
                <w:sz w:val="20"/>
                <w:szCs w:val="20"/>
              </w:rPr>
              <w:sym w:font="Symbol" w:char="F0B4"/>
            </w:r>
            <w:r w:rsidRPr="00DF5A5A">
              <w:rPr>
                <w:i/>
                <w:iCs/>
                <w:sz w:val="20"/>
                <w:szCs w:val="20"/>
                <w:lang w:val="fr-FR"/>
              </w:rPr>
              <w:t>DRX cycle))</w:t>
            </w:r>
          </w:p>
          <w:p w14:paraId="62D47FE3" w14:textId="77777777" w:rsidR="00DF5A5A" w:rsidRPr="00DF5A5A" w:rsidRDefault="00DF5A5A" w:rsidP="00DF5A5A">
            <w:pPr>
              <w:spacing w:after="0"/>
              <w:rPr>
                <w:sz w:val="20"/>
                <w:szCs w:val="20"/>
              </w:rPr>
            </w:pPr>
            <w:r w:rsidRPr="00DF5A5A">
              <w:rPr>
                <w:iCs/>
                <w:sz w:val="20"/>
                <w:szCs w:val="20"/>
              </w:rPr>
              <w:t>NRSRP</w:t>
            </w:r>
            <w:r w:rsidRPr="00DF5A5A">
              <w:rPr>
                <w:iCs/>
                <w:sz w:val="20"/>
                <w:szCs w:val="20"/>
                <w:vertAlign w:val="subscript"/>
              </w:rPr>
              <w:t>1</w:t>
            </w:r>
            <w:r w:rsidRPr="00DF5A5A">
              <w:rPr>
                <w:iCs/>
                <w:sz w:val="20"/>
                <w:szCs w:val="20"/>
              </w:rPr>
              <w:t xml:space="preserve"> </w:t>
            </w:r>
            <w:r w:rsidRPr="00DF5A5A">
              <w:rPr>
                <w:sz w:val="20"/>
                <w:szCs w:val="20"/>
              </w:rPr>
              <w:t>is considered valid provided that the following condition is met when in enhanced coverage:</w:t>
            </w:r>
          </w:p>
          <w:p w14:paraId="0D3B1430" w14:textId="77777777" w:rsidR="00DF5A5A" w:rsidRPr="00DF5A5A" w:rsidRDefault="00DF5A5A" w:rsidP="00DF5A5A">
            <w:pPr>
              <w:spacing w:after="0"/>
              <w:jc w:val="center"/>
              <w:rPr>
                <w:i/>
                <w:iCs/>
                <w:sz w:val="20"/>
                <w:szCs w:val="20"/>
                <w:lang w:val="fr-FR"/>
              </w:rPr>
            </w:pPr>
            <w:r w:rsidRPr="00DF5A5A">
              <w:rPr>
                <w:i/>
                <w:iCs/>
                <w:sz w:val="20"/>
                <w:szCs w:val="20"/>
                <w:lang w:val="fr-FR"/>
              </w:rPr>
              <w:t>(T1 – min(1600 ms, N</w:t>
            </w:r>
            <w:r w:rsidRPr="00DF5A5A">
              <w:rPr>
                <w:i/>
                <w:iCs/>
                <w:sz w:val="20"/>
                <w:szCs w:val="20"/>
              </w:rPr>
              <w:sym w:font="Symbol" w:char="F0B4"/>
            </w:r>
            <w:r w:rsidRPr="00DF5A5A">
              <w:rPr>
                <w:i/>
                <w:iCs/>
                <w:sz w:val="20"/>
                <w:szCs w:val="20"/>
                <w:lang w:val="fr-FR"/>
              </w:rPr>
              <w:t xml:space="preserve"> DRX cycle)) </w:t>
            </w:r>
            <w:proofErr w:type="gramStart"/>
            <w:r w:rsidRPr="00DF5A5A">
              <w:rPr>
                <w:i/>
                <w:iCs/>
                <w:sz w:val="20"/>
                <w:szCs w:val="20"/>
                <w:lang w:val="fr-FR"/>
              </w:rPr>
              <w:t>≤  T</w:t>
            </w:r>
            <w:proofErr w:type="gramEnd"/>
            <w:r w:rsidRPr="00DF5A5A">
              <w:rPr>
                <w:i/>
                <w:iCs/>
                <w:sz w:val="20"/>
                <w:szCs w:val="20"/>
                <w:lang w:val="fr-FR"/>
              </w:rPr>
              <w:t>1’ ≤  (T1 + min(1600 ms, N</w:t>
            </w:r>
            <w:r w:rsidRPr="00DF5A5A">
              <w:rPr>
                <w:i/>
                <w:iCs/>
                <w:sz w:val="20"/>
                <w:szCs w:val="20"/>
              </w:rPr>
              <w:sym w:font="Symbol" w:char="F0B4"/>
            </w:r>
            <w:r w:rsidRPr="00DF5A5A">
              <w:rPr>
                <w:i/>
                <w:iCs/>
                <w:sz w:val="20"/>
                <w:szCs w:val="20"/>
                <w:lang w:val="fr-FR"/>
              </w:rPr>
              <w:t>DRX cycle))</w:t>
            </w:r>
          </w:p>
          <w:p w14:paraId="2E823E6B" w14:textId="77777777" w:rsidR="00DF5A5A" w:rsidRPr="00DF5A5A" w:rsidRDefault="00DF5A5A" w:rsidP="00DF5A5A">
            <w:pPr>
              <w:spacing w:after="0"/>
              <w:rPr>
                <w:sz w:val="20"/>
                <w:szCs w:val="20"/>
              </w:rPr>
            </w:pPr>
            <w:r w:rsidRPr="00DF5A5A">
              <w:rPr>
                <w:iCs/>
                <w:sz w:val="20"/>
                <w:szCs w:val="20"/>
              </w:rPr>
              <w:t>NRSRP</w:t>
            </w:r>
            <w:r w:rsidRPr="00DF5A5A">
              <w:rPr>
                <w:iCs/>
                <w:sz w:val="20"/>
                <w:szCs w:val="20"/>
                <w:vertAlign w:val="subscript"/>
              </w:rPr>
              <w:t>2</w:t>
            </w:r>
            <w:r w:rsidRPr="00DF5A5A">
              <w:rPr>
                <w:iCs/>
                <w:sz w:val="20"/>
                <w:szCs w:val="20"/>
              </w:rPr>
              <w:t xml:space="preserve"> </w:t>
            </w:r>
            <w:r w:rsidRPr="00DF5A5A">
              <w:rPr>
                <w:sz w:val="20"/>
                <w:szCs w:val="20"/>
              </w:rPr>
              <w:t>is considered valid provided that the following condition is met when in normal coverage:</w:t>
            </w:r>
          </w:p>
          <w:p w14:paraId="55A16590" w14:textId="77777777" w:rsidR="00DF5A5A" w:rsidRPr="00DF5A5A" w:rsidRDefault="00DF5A5A" w:rsidP="00DF5A5A">
            <w:pPr>
              <w:spacing w:after="0"/>
              <w:jc w:val="center"/>
              <w:rPr>
                <w:i/>
                <w:iCs/>
                <w:sz w:val="20"/>
                <w:szCs w:val="20"/>
                <w:lang w:val="fr-FR"/>
              </w:rPr>
            </w:pPr>
            <w:r w:rsidRPr="00DF5A5A">
              <w:rPr>
                <w:i/>
                <w:iCs/>
                <w:sz w:val="20"/>
                <w:szCs w:val="20"/>
                <w:lang w:val="fr-FR"/>
              </w:rPr>
              <w:t>T2 – min(800 ms, N</w:t>
            </w:r>
            <w:r w:rsidRPr="00DF5A5A">
              <w:rPr>
                <w:i/>
                <w:iCs/>
                <w:sz w:val="20"/>
                <w:szCs w:val="20"/>
              </w:rPr>
              <w:sym w:font="Symbol" w:char="F0B4"/>
            </w:r>
            <w:r w:rsidRPr="00DF5A5A">
              <w:rPr>
                <w:i/>
                <w:iCs/>
                <w:sz w:val="20"/>
                <w:szCs w:val="20"/>
                <w:lang w:val="fr-FR"/>
              </w:rPr>
              <w:t xml:space="preserve">DRX cycle) </w:t>
            </w:r>
            <w:r w:rsidRPr="00DF5A5A">
              <w:rPr>
                <w:rFonts w:hint="eastAsia"/>
                <w:i/>
                <w:iCs/>
                <w:sz w:val="20"/>
                <w:szCs w:val="20"/>
                <w:lang w:val="fr-FR"/>
              </w:rPr>
              <w:t>≤</w:t>
            </w:r>
            <w:r w:rsidRPr="00DF5A5A">
              <w:rPr>
                <w:i/>
                <w:iCs/>
                <w:sz w:val="20"/>
                <w:szCs w:val="20"/>
                <w:lang w:val="fr-FR"/>
              </w:rPr>
              <w:t xml:space="preserve"> T2’ </w:t>
            </w:r>
            <w:r w:rsidRPr="00DF5A5A">
              <w:rPr>
                <w:rFonts w:hint="eastAsia"/>
                <w:i/>
                <w:iCs/>
                <w:sz w:val="20"/>
                <w:szCs w:val="20"/>
                <w:lang w:val="fr-FR"/>
              </w:rPr>
              <w:t>≤</w:t>
            </w:r>
            <w:r w:rsidRPr="00DF5A5A">
              <w:rPr>
                <w:i/>
                <w:iCs/>
                <w:sz w:val="20"/>
                <w:szCs w:val="20"/>
                <w:lang w:val="fr-FR"/>
              </w:rPr>
              <w:t xml:space="preserve"> T2</w:t>
            </w:r>
          </w:p>
          <w:p w14:paraId="2BC22539" w14:textId="77777777" w:rsidR="00DF5A5A" w:rsidRPr="00DF5A5A" w:rsidRDefault="00DF5A5A" w:rsidP="00DF5A5A">
            <w:pPr>
              <w:spacing w:after="0"/>
              <w:rPr>
                <w:sz w:val="20"/>
                <w:szCs w:val="20"/>
              </w:rPr>
            </w:pPr>
            <w:r w:rsidRPr="00DF5A5A">
              <w:rPr>
                <w:iCs/>
                <w:sz w:val="20"/>
                <w:szCs w:val="20"/>
              </w:rPr>
              <w:t>NRSRP</w:t>
            </w:r>
            <w:r w:rsidRPr="00DF5A5A">
              <w:rPr>
                <w:iCs/>
                <w:sz w:val="20"/>
                <w:szCs w:val="20"/>
                <w:vertAlign w:val="subscript"/>
              </w:rPr>
              <w:t>2</w:t>
            </w:r>
            <w:r w:rsidRPr="00DF5A5A">
              <w:rPr>
                <w:iCs/>
                <w:sz w:val="20"/>
                <w:szCs w:val="20"/>
              </w:rPr>
              <w:t xml:space="preserve"> </w:t>
            </w:r>
            <w:r w:rsidRPr="00DF5A5A">
              <w:rPr>
                <w:sz w:val="20"/>
                <w:szCs w:val="20"/>
              </w:rPr>
              <w:t>is considered valid provided that the following condition is met when in enhanced coverage:</w:t>
            </w:r>
          </w:p>
          <w:p w14:paraId="521AC25D" w14:textId="77777777" w:rsidR="00DF5A5A" w:rsidRPr="00DF5A5A" w:rsidRDefault="00DF5A5A" w:rsidP="00DF5A5A">
            <w:pPr>
              <w:spacing w:after="0"/>
              <w:jc w:val="center"/>
              <w:rPr>
                <w:iCs/>
                <w:sz w:val="20"/>
                <w:szCs w:val="20"/>
                <w:lang w:val="fr-FR"/>
              </w:rPr>
            </w:pPr>
            <w:r w:rsidRPr="00DF5A5A">
              <w:rPr>
                <w:i/>
                <w:iCs/>
                <w:sz w:val="20"/>
                <w:szCs w:val="20"/>
                <w:lang w:val="fr-FR"/>
              </w:rPr>
              <w:t>T2 – min(1600 ms, N</w:t>
            </w:r>
            <w:r w:rsidRPr="00DF5A5A">
              <w:rPr>
                <w:i/>
                <w:iCs/>
                <w:sz w:val="20"/>
                <w:szCs w:val="20"/>
              </w:rPr>
              <w:sym w:font="Symbol" w:char="F0B4"/>
            </w:r>
            <w:r w:rsidRPr="00DF5A5A">
              <w:rPr>
                <w:i/>
                <w:iCs/>
                <w:sz w:val="20"/>
                <w:szCs w:val="20"/>
                <w:lang w:val="fr-FR"/>
              </w:rPr>
              <w:t xml:space="preserve">DRX cycle) </w:t>
            </w:r>
            <w:r w:rsidRPr="00DF5A5A">
              <w:rPr>
                <w:rFonts w:hint="eastAsia"/>
                <w:i/>
                <w:iCs/>
                <w:sz w:val="20"/>
                <w:szCs w:val="20"/>
                <w:lang w:val="fr-FR"/>
              </w:rPr>
              <w:t>≤</w:t>
            </w:r>
            <w:r w:rsidRPr="00DF5A5A">
              <w:rPr>
                <w:i/>
                <w:iCs/>
                <w:sz w:val="20"/>
                <w:szCs w:val="20"/>
                <w:lang w:val="fr-FR"/>
              </w:rPr>
              <w:t xml:space="preserve"> T2’ </w:t>
            </w:r>
            <w:r w:rsidRPr="00DF5A5A">
              <w:rPr>
                <w:rFonts w:hint="eastAsia"/>
                <w:i/>
                <w:iCs/>
                <w:sz w:val="20"/>
                <w:szCs w:val="20"/>
                <w:lang w:val="fr-FR"/>
              </w:rPr>
              <w:t>≤</w:t>
            </w:r>
            <w:r w:rsidRPr="00DF5A5A">
              <w:rPr>
                <w:i/>
                <w:iCs/>
                <w:sz w:val="20"/>
                <w:szCs w:val="20"/>
                <w:lang w:val="fr-FR"/>
              </w:rPr>
              <w:t xml:space="preserve"> T2</w:t>
            </w:r>
          </w:p>
          <w:p w14:paraId="679F4EA3" w14:textId="77777777" w:rsidR="00DF5A5A" w:rsidRPr="00DF5A5A" w:rsidRDefault="00DF5A5A" w:rsidP="00DF5A5A">
            <w:pPr>
              <w:spacing w:after="0"/>
              <w:rPr>
                <w:sz w:val="20"/>
                <w:szCs w:val="20"/>
              </w:rPr>
            </w:pPr>
            <w:r w:rsidRPr="00DF5A5A">
              <w:rPr>
                <w:sz w:val="20"/>
                <w:szCs w:val="20"/>
              </w:rPr>
              <w:t>If at least one of N</w:t>
            </w:r>
            <w:r w:rsidRPr="00DF5A5A">
              <w:rPr>
                <w:iCs/>
                <w:sz w:val="20"/>
                <w:szCs w:val="20"/>
              </w:rPr>
              <w:t>RSRP</w:t>
            </w:r>
            <w:r w:rsidRPr="00DF5A5A">
              <w:rPr>
                <w:iCs/>
                <w:sz w:val="20"/>
                <w:szCs w:val="20"/>
                <w:vertAlign w:val="subscript"/>
              </w:rPr>
              <w:t>1</w:t>
            </w:r>
            <w:r w:rsidRPr="00DF5A5A">
              <w:rPr>
                <w:iCs/>
                <w:sz w:val="20"/>
                <w:szCs w:val="20"/>
              </w:rPr>
              <w:t xml:space="preserve"> and NRSRP</w:t>
            </w:r>
            <w:r w:rsidRPr="00DF5A5A">
              <w:rPr>
                <w:iCs/>
                <w:sz w:val="20"/>
                <w:szCs w:val="20"/>
                <w:vertAlign w:val="subscript"/>
              </w:rPr>
              <w:t>2</w:t>
            </w:r>
            <w:r w:rsidRPr="00DF5A5A">
              <w:rPr>
                <w:iCs/>
                <w:sz w:val="20"/>
                <w:szCs w:val="20"/>
              </w:rPr>
              <w:t xml:space="preserve"> </w:t>
            </w:r>
            <w:r w:rsidRPr="00DF5A5A">
              <w:rPr>
                <w:sz w:val="20"/>
                <w:szCs w:val="20"/>
              </w:rPr>
              <w:t xml:space="preserve">is considered to be invalid based on the above </w:t>
            </w:r>
            <w:proofErr w:type="gramStart"/>
            <w:r w:rsidRPr="00DF5A5A">
              <w:rPr>
                <w:sz w:val="20"/>
                <w:szCs w:val="20"/>
              </w:rPr>
              <w:t>conditions</w:t>
            </w:r>
            <w:proofErr w:type="gramEnd"/>
            <w:r w:rsidRPr="00DF5A5A">
              <w:rPr>
                <w:sz w:val="20"/>
                <w:szCs w:val="20"/>
              </w:rPr>
              <w:t xml:space="preserve"> then the UE shall not validate the PUR using N</w:t>
            </w:r>
            <w:r w:rsidRPr="00DF5A5A">
              <w:rPr>
                <w:iCs/>
                <w:sz w:val="20"/>
                <w:szCs w:val="20"/>
              </w:rPr>
              <w:t>RSRP</w:t>
            </w:r>
            <w:r w:rsidRPr="00DF5A5A">
              <w:rPr>
                <w:iCs/>
                <w:sz w:val="20"/>
                <w:szCs w:val="20"/>
                <w:vertAlign w:val="subscript"/>
              </w:rPr>
              <w:t>1</w:t>
            </w:r>
            <w:r w:rsidRPr="00DF5A5A">
              <w:rPr>
                <w:iCs/>
                <w:sz w:val="20"/>
                <w:szCs w:val="20"/>
              </w:rPr>
              <w:t xml:space="preserve"> and NRSRP</w:t>
            </w:r>
            <w:r w:rsidRPr="00DF5A5A">
              <w:rPr>
                <w:iCs/>
                <w:sz w:val="20"/>
                <w:szCs w:val="20"/>
                <w:vertAlign w:val="subscript"/>
              </w:rPr>
              <w:t>2</w:t>
            </w:r>
            <w:r w:rsidRPr="00DF5A5A">
              <w:rPr>
                <w:iCs/>
                <w:sz w:val="20"/>
                <w:szCs w:val="20"/>
              </w:rPr>
              <w:t xml:space="preserve"> </w:t>
            </w:r>
            <w:r w:rsidRPr="00DF5A5A">
              <w:rPr>
                <w:sz w:val="20"/>
                <w:szCs w:val="20"/>
              </w:rPr>
              <w:t xml:space="preserve">and shall not transmit using PUR. </w:t>
            </w:r>
          </w:p>
          <w:p w14:paraId="6598AFC9" w14:textId="77777777" w:rsidR="00DF5A5A" w:rsidRPr="00DF5A5A" w:rsidRDefault="00DF5A5A" w:rsidP="00DF5A5A">
            <w:pPr>
              <w:spacing w:after="0"/>
              <w:rPr>
                <w:iCs/>
                <w:sz w:val="20"/>
                <w:szCs w:val="20"/>
              </w:rPr>
            </w:pPr>
            <w:proofErr w:type="gramStart"/>
            <w:r w:rsidRPr="00DF5A5A">
              <w:rPr>
                <w:iCs/>
                <w:sz w:val="20"/>
                <w:szCs w:val="20"/>
              </w:rPr>
              <w:t>Where</w:t>
            </w:r>
            <w:proofErr w:type="gramEnd"/>
            <w:r w:rsidRPr="00DF5A5A">
              <w:rPr>
                <w:iCs/>
                <w:sz w:val="20"/>
                <w:szCs w:val="20"/>
              </w:rPr>
              <w:t xml:space="preserve"> </w:t>
            </w:r>
          </w:p>
          <w:p w14:paraId="2D9C936E" w14:textId="77777777" w:rsidR="00DF5A5A" w:rsidRPr="00DF5A5A" w:rsidRDefault="00DF5A5A" w:rsidP="00DF5A5A">
            <w:pPr>
              <w:pStyle w:val="B1"/>
              <w:spacing w:after="0"/>
              <w:rPr>
                <w:sz w:val="20"/>
                <w:szCs w:val="20"/>
              </w:rPr>
            </w:pPr>
            <w:r w:rsidRPr="00DF5A5A">
              <w:rPr>
                <w:sz w:val="20"/>
                <w:szCs w:val="20"/>
              </w:rPr>
              <w:t>-</w:t>
            </w:r>
            <w:r w:rsidRPr="00DF5A5A">
              <w:rPr>
                <w:sz w:val="20"/>
                <w:szCs w:val="20"/>
              </w:rPr>
              <w:tab/>
              <w:t xml:space="preserve">T1 is the time when the latest </w:t>
            </w:r>
            <m:oMath>
              <m:sSub>
                <m:sSubPr>
                  <m:ctrlPr>
                    <w:rPr>
                      <w:rFonts w:ascii="Cambria Math" w:hAnsi="Cambria Math"/>
                      <w:i/>
                      <w:sz w:val="20"/>
                      <w:szCs w:val="20"/>
                    </w:rPr>
                  </m:ctrlPr>
                </m:sSubPr>
                <m:e>
                  <m:r>
                    <w:rPr>
                      <w:rFonts w:ascii="Cambria Math"/>
                      <w:sz w:val="20"/>
                      <w:szCs w:val="20"/>
                    </w:rPr>
                    <m:t>N</m:t>
                  </m:r>
                </m:e>
                <m:sub>
                  <m:r>
                    <m:rPr>
                      <m:nor/>
                    </m:rPr>
                    <w:rPr>
                      <w:rFonts w:ascii="Cambria Math"/>
                      <w:sz w:val="20"/>
                      <w:szCs w:val="20"/>
                    </w:rPr>
                    <m:t>TA</m:t>
                  </m:r>
                  <m:ctrlPr>
                    <w:rPr>
                      <w:rFonts w:ascii="Cambria Math" w:hAnsi="Cambria Math"/>
                      <w:sz w:val="20"/>
                      <w:szCs w:val="20"/>
                    </w:rPr>
                  </m:ctrlPr>
                </m:sub>
              </m:sSub>
            </m:oMath>
            <w:r w:rsidRPr="00DF5A5A">
              <w:rPr>
                <w:sz w:val="20"/>
                <w:szCs w:val="20"/>
              </w:rPr>
              <w:t xml:space="preserve">was obtained by the UE via </w:t>
            </w:r>
            <w:r w:rsidRPr="00DF5A5A">
              <w:rPr>
                <w:noProof/>
                <w:sz w:val="20"/>
                <w:szCs w:val="20"/>
              </w:rPr>
              <w:t xml:space="preserve">Timing Advance </w:t>
            </w:r>
            <w:r w:rsidRPr="00DF5A5A">
              <w:rPr>
                <w:sz w:val="20"/>
                <w:szCs w:val="20"/>
              </w:rPr>
              <w:t xml:space="preserve">Command </w:t>
            </w:r>
            <w:r w:rsidRPr="00DF5A5A">
              <w:rPr>
                <w:noProof/>
                <w:sz w:val="20"/>
                <w:szCs w:val="20"/>
              </w:rPr>
              <w:t xml:space="preserve">MAC control element or NPDCCH </w:t>
            </w:r>
            <w:r w:rsidRPr="00DF5A5A">
              <w:rPr>
                <w:sz w:val="20"/>
                <w:szCs w:val="20"/>
              </w:rPr>
              <w:t>for transmission on PUR,</w:t>
            </w:r>
          </w:p>
          <w:p w14:paraId="6AD09B88" w14:textId="77777777" w:rsidR="00DF5A5A" w:rsidRPr="00DF5A5A" w:rsidRDefault="00DF5A5A" w:rsidP="00DF5A5A">
            <w:pPr>
              <w:pStyle w:val="B1"/>
              <w:spacing w:after="0"/>
              <w:rPr>
                <w:sz w:val="20"/>
                <w:szCs w:val="20"/>
              </w:rPr>
            </w:pPr>
            <w:r w:rsidRPr="00DF5A5A">
              <w:rPr>
                <w:sz w:val="20"/>
                <w:szCs w:val="20"/>
              </w:rPr>
              <w:t>-</w:t>
            </w:r>
            <w:r w:rsidRPr="00DF5A5A">
              <w:rPr>
                <w:sz w:val="20"/>
                <w:szCs w:val="20"/>
              </w:rPr>
              <w:tab/>
              <w:t>T1’ is the time when the UE has completed NRSRP</w:t>
            </w:r>
            <w:r w:rsidRPr="00DF5A5A">
              <w:rPr>
                <w:sz w:val="20"/>
                <w:szCs w:val="20"/>
                <w:vertAlign w:val="subscript"/>
              </w:rPr>
              <w:t>1</w:t>
            </w:r>
            <w:r w:rsidRPr="00DF5A5A">
              <w:rPr>
                <w:sz w:val="20"/>
                <w:szCs w:val="20"/>
              </w:rPr>
              <w:t>,</w:t>
            </w:r>
          </w:p>
          <w:p w14:paraId="5FEB8F90" w14:textId="77777777" w:rsidR="00DF5A5A" w:rsidRPr="00DF5A5A" w:rsidRDefault="00DF5A5A" w:rsidP="00DF5A5A">
            <w:pPr>
              <w:pStyle w:val="B1"/>
              <w:spacing w:after="0"/>
              <w:rPr>
                <w:sz w:val="20"/>
                <w:szCs w:val="20"/>
              </w:rPr>
            </w:pPr>
            <w:r w:rsidRPr="00DF5A5A">
              <w:rPr>
                <w:sz w:val="20"/>
                <w:szCs w:val="20"/>
              </w:rPr>
              <w:t>-</w:t>
            </w:r>
            <w:r w:rsidRPr="00DF5A5A">
              <w:rPr>
                <w:sz w:val="20"/>
                <w:szCs w:val="20"/>
              </w:rPr>
              <w:tab/>
              <w:t xml:space="preserve">T2 is the time when the UE performs TA </w:t>
            </w:r>
            <w:proofErr w:type="gramStart"/>
            <w:r w:rsidRPr="00DF5A5A">
              <w:rPr>
                <w:sz w:val="20"/>
                <w:szCs w:val="20"/>
              </w:rPr>
              <w:t>validation  defined</w:t>
            </w:r>
            <w:proofErr w:type="gramEnd"/>
            <w:r w:rsidRPr="00DF5A5A">
              <w:rPr>
                <w:sz w:val="20"/>
                <w:szCs w:val="20"/>
              </w:rPr>
              <w:t xml:space="preserve"> in clause </w:t>
            </w:r>
            <w:r w:rsidRPr="00DF5A5A">
              <w:rPr>
                <w:rFonts w:eastAsia="SimSun"/>
                <w:sz w:val="20"/>
                <w:szCs w:val="20"/>
                <w:lang w:eastAsia="zh-CN"/>
              </w:rPr>
              <w:t>5.3.3.19 of TS 36.331 [2]</w:t>
            </w:r>
            <w:r w:rsidRPr="00DF5A5A">
              <w:rPr>
                <w:sz w:val="20"/>
                <w:szCs w:val="20"/>
              </w:rPr>
              <w:t xml:space="preserve"> for transmission using PUR,</w:t>
            </w:r>
          </w:p>
          <w:p w14:paraId="6AEF7B86" w14:textId="77777777" w:rsidR="00DF5A5A" w:rsidRPr="00DF5A5A" w:rsidRDefault="00DF5A5A" w:rsidP="00DF5A5A">
            <w:pPr>
              <w:pStyle w:val="B1"/>
              <w:spacing w:after="0"/>
              <w:rPr>
                <w:sz w:val="20"/>
                <w:szCs w:val="20"/>
              </w:rPr>
            </w:pPr>
            <w:r w:rsidRPr="00DF5A5A">
              <w:rPr>
                <w:sz w:val="20"/>
                <w:szCs w:val="20"/>
              </w:rPr>
              <w:t>-</w:t>
            </w:r>
            <w:r w:rsidRPr="00DF5A5A">
              <w:rPr>
                <w:sz w:val="20"/>
                <w:szCs w:val="20"/>
              </w:rPr>
              <w:tab/>
              <w:t>T2’ is the time when the UE has completed NRSRP</w:t>
            </w:r>
            <w:r w:rsidRPr="00DF5A5A">
              <w:rPr>
                <w:sz w:val="20"/>
                <w:szCs w:val="20"/>
                <w:vertAlign w:val="subscript"/>
              </w:rPr>
              <w:t>2</w:t>
            </w:r>
            <w:r w:rsidRPr="00DF5A5A">
              <w:rPr>
                <w:sz w:val="20"/>
                <w:szCs w:val="20"/>
              </w:rPr>
              <w:t xml:space="preserve">. </w:t>
            </w:r>
          </w:p>
          <w:p w14:paraId="0062B952" w14:textId="77777777" w:rsidR="00DF5A5A" w:rsidRPr="00DF5A5A" w:rsidRDefault="00DF5A5A" w:rsidP="00DF5A5A">
            <w:pPr>
              <w:pStyle w:val="B1"/>
              <w:numPr>
                <w:ilvl w:val="0"/>
                <w:numId w:val="36"/>
              </w:numPr>
              <w:spacing w:after="0"/>
              <w:ind w:left="568" w:hanging="284"/>
              <w:rPr>
                <w:sz w:val="20"/>
                <w:szCs w:val="20"/>
              </w:rPr>
            </w:pPr>
            <w:r w:rsidRPr="00DF5A5A">
              <w:rPr>
                <w:sz w:val="20"/>
                <w:szCs w:val="20"/>
              </w:rPr>
              <w:t>N is applicable only if relaxed serving cell monitoring as defined in clause 4.6.2.1A for normal coverage or 4.6.2.3A for enhanced coverage is in use. Otherwise, N=1.</w:t>
            </w:r>
          </w:p>
          <w:p w14:paraId="666C3928" w14:textId="77777777" w:rsidR="00DF5A5A" w:rsidRPr="00DF5A5A" w:rsidRDefault="00DF5A5A" w:rsidP="00DF5A5A">
            <w:pPr>
              <w:pStyle w:val="B1"/>
              <w:spacing w:after="0"/>
              <w:rPr>
                <w:sz w:val="20"/>
                <w:szCs w:val="20"/>
              </w:rPr>
            </w:pPr>
            <w:r w:rsidRPr="00DF5A5A">
              <w:rPr>
                <w:sz w:val="20"/>
                <w:szCs w:val="20"/>
              </w:rPr>
              <w:t>-</w:t>
            </w:r>
            <w:r w:rsidRPr="00DF5A5A">
              <w:rPr>
                <w:sz w:val="20"/>
                <w:szCs w:val="20"/>
              </w:rPr>
              <w:tab/>
              <w:t xml:space="preserve">For normal coverage, N is the relaxation factor and is given by Table 4.6.2.1A-1 if the UE is not configured with </w:t>
            </w:r>
            <w:proofErr w:type="spellStart"/>
            <w:r w:rsidRPr="00DF5A5A">
              <w:rPr>
                <w:sz w:val="20"/>
                <w:szCs w:val="20"/>
              </w:rPr>
              <w:t>eDRX_IDLE</w:t>
            </w:r>
            <w:proofErr w:type="spellEnd"/>
            <w:r w:rsidRPr="00DF5A5A">
              <w:rPr>
                <w:sz w:val="20"/>
                <w:szCs w:val="20"/>
              </w:rPr>
              <w:t xml:space="preserve"> cycle and by Table 4.6.2.1A-2 if the UE is configured with </w:t>
            </w:r>
            <w:proofErr w:type="spellStart"/>
            <w:r w:rsidRPr="00DF5A5A">
              <w:rPr>
                <w:sz w:val="20"/>
                <w:szCs w:val="20"/>
              </w:rPr>
              <w:t>eDRX_IDLE</w:t>
            </w:r>
            <w:proofErr w:type="spellEnd"/>
            <w:r w:rsidRPr="00DF5A5A">
              <w:rPr>
                <w:sz w:val="20"/>
                <w:szCs w:val="20"/>
              </w:rPr>
              <w:t xml:space="preserve"> if relaxed serving cell monitoring as defined in clause 4.6.2.1A is in use.</w:t>
            </w:r>
          </w:p>
          <w:p w14:paraId="2EFAC347" w14:textId="10A4A049" w:rsidR="00DF5A5A" w:rsidRDefault="00DF5A5A" w:rsidP="00DF5A5A">
            <w:pPr>
              <w:pStyle w:val="B1"/>
              <w:spacing w:after="0"/>
            </w:pPr>
            <w:r w:rsidRPr="00DF5A5A">
              <w:rPr>
                <w:sz w:val="20"/>
                <w:szCs w:val="20"/>
              </w:rPr>
              <w:t>-</w:t>
            </w:r>
            <w:r w:rsidRPr="00DF5A5A">
              <w:rPr>
                <w:sz w:val="20"/>
                <w:szCs w:val="20"/>
              </w:rPr>
              <w:tab/>
              <w:t xml:space="preserve">For enhanced coverage, N is the relaxation factor and is given by Table 4.6.2.3A-1 if the UE is not configured with </w:t>
            </w:r>
            <w:proofErr w:type="spellStart"/>
            <w:r w:rsidRPr="00DF5A5A">
              <w:rPr>
                <w:sz w:val="20"/>
                <w:szCs w:val="20"/>
              </w:rPr>
              <w:t>eDRX_IDLE</w:t>
            </w:r>
            <w:proofErr w:type="spellEnd"/>
            <w:r w:rsidRPr="00DF5A5A">
              <w:rPr>
                <w:sz w:val="20"/>
                <w:szCs w:val="20"/>
              </w:rPr>
              <w:t xml:space="preserve"> cycle and by Table 4.6.2.3A-2 if the UE is configured with </w:t>
            </w:r>
            <w:proofErr w:type="spellStart"/>
            <w:r w:rsidRPr="00DF5A5A">
              <w:rPr>
                <w:sz w:val="20"/>
                <w:szCs w:val="20"/>
              </w:rPr>
              <w:t>eDRX_IDLE</w:t>
            </w:r>
            <w:proofErr w:type="spellEnd"/>
            <w:r w:rsidRPr="00DF5A5A">
              <w:rPr>
                <w:sz w:val="20"/>
                <w:szCs w:val="20"/>
              </w:rPr>
              <w:t xml:space="preserve"> cycle if relaxed serving cell monitoring as defined in clause 4.6.2.3A is in use.</w:t>
            </w:r>
          </w:p>
        </w:tc>
      </w:tr>
    </w:tbl>
    <w:p w14:paraId="164D55ED" w14:textId="77777777" w:rsidR="008A0A18" w:rsidRPr="008A0A18" w:rsidRDefault="008A0A18" w:rsidP="0094703A"/>
    <w:p w14:paraId="7D1275D4" w14:textId="77777777" w:rsidR="00D669AC" w:rsidRPr="00D669AC" w:rsidRDefault="00D669AC" w:rsidP="00805DB8">
      <w:pPr>
        <w:spacing w:after="120"/>
        <w:jc w:val="both"/>
      </w:pPr>
      <w:proofErr w:type="gramStart"/>
      <w:r w:rsidRPr="00D669AC">
        <w:t>So</w:t>
      </w:r>
      <w:proofErr w:type="gramEnd"/>
      <w:r w:rsidRPr="00D669AC">
        <w:t xml:space="preserve"> in NR CG-SDT, when only RSRP-Change-Threshold is configured for TA validation based on RSRP change criterion, with or without other TA validation criteria, the UE is allowed to transmit CG-SDT using the timing derived using the latest available N</w:t>
      </w:r>
      <w:r w:rsidRPr="00D669AC">
        <w:rPr>
          <w:vertAlign w:val="subscript"/>
        </w:rPr>
        <w:t>TA</w:t>
      </w:r>
      <w:r w:rsidRPr="00D669AC">
        <w:t xml:space="preserve">, provided that </w:t>
      </w:r>
    </w:p>
    <w:p w14:paraId="6BC4595B" w14:textId="6F6FAB8D" w:rsidR="00D669AC" w:rsidRPr="00D669AC" w:rsidRDefault="00D669AC" w:rsidP="00805DB8">
      <w:pPr>
        <w:pStyle w:val="ListParagraph"/>
        <w:numPr>
          <w:ilvl w:val="0"/>
          <w:numId w:val="36"/>
        </w:numPr>
        <w:spacing w:after="120" w:line="240" w:lineRule="auto"/>
        <w:ind w:firstLineChars="0"/>
        <w:jc w:val="both"/>
        <w:rPr>
          <w:sz w:val="24"/>
          <w:szCs w:val="24"/>
        </w:rPr>
      </w:pPr>
      <w:r w:rsidRPr="00D669AC">
        <w:rPr>
          <w:sz w:val="24"/>
          <w:szCs w:val="24"/>
        </w:rPr>
        <w:t>the first SSB-RSRP (RSRP1) measurement and the second SSB-RSRP (RSRP2) measurement used in the TA validation are valid measurements and,</w:t>
      </w:r>
    </w:p>
    <w:p w14:paraId="3F3090E2" w14:textId="16CE53D4" w:rsidR="0033486E" w:rsidRPr="00D669AC" w:rsidRDefault="00D669AC" w:rsidP="00805DB8">
      <w:pPr>
        <w:pStyle w:val="ListParagraph"/>
        <w:numPr>
          <w:ilvl w:val="0"/>
          <w:numId w:val="36"/>
        </w:numPr>
        <w:spacing w:after="120" w:line="240" w:lineRule="auto"/>
        <w:ind w:firstLineChars="0"/>
        <w:jc w:val="both"/>
        <w:rPr>
          <w:sz w:val="24"/>
          <w:szCs w:val="24"/>
        </w:rPr>
      </w:pPr>
      <w:r w:rsidRPr="00D669AC">
        <w:rPr>
          <w:sz w:val="24"/>
          <w:szCs w:val="24"/>
        </w:rPr>
        <w:t>timing alignment validation for transmission using CG-SDT is valid according to the all configured TA validation criteria (e.g. TAT timer is running, and RSRP change is smaller than or equal to a threshold)</w:t>
      </w:r>
    </w:p>
    <w:p w14:paraId="7DFBEDA5" w14:textId="27FCFD76" w:rsidR="00E949A5" w:rsidRDefault="00E949A5" w:rsidP="00805DB8">
      <w:pPr>
        <w:spacing w:after="120"/>
        <w:jc w:val="both"/>
      </w:pPr>
      <w:r>
        <w:t>Similarly, by assuming following timing points:</w:t>
      </w:r>
    </w:p>
    <w:p w14:paraId="6819A2C9" w14:textId="77777777" w:rsidR="00E949A5" w:rsidRPr="00E949A5" w:rsidRDefault="00E949A5" w:rsidP="00805DB8">
      <w:pPr>
        <w:pStyle w:val="ListParagraph"/>
        <w:numPr>
          <w:ilvl w:val="0"/>
          <w:numId w:val="36"/>
        </w:numPr>
        <w:spacing w:after="120" w:line="240" w:lineRule="auto"/>
        <w:ind w:firstLineChars="0"/>
        <w:jc w:val="both"/>
        <w:rPr>
          <w:sz w:val="24"/>
          <w:szCs w:val="24"/>
        </w:rPr>
      </w:pPr>
      <w:r w:rsidRPr="00E949A5">
        <w:rPr>
          <w:sz w:val="24"/>
          <w:szCs w:val="24"/>
        </w:rPr>
        <w:t>T1 is the time when the latest N</w:t>
      </w:r>
      <w:r w:rsidRPr="00E949A5">
        <w:rPr>
          <w:sz w:val="24"/>
          <w:szCs w:val="24"/>
          <w:vertAlign w:val="subscript"/>
        </w:rPr>
        <w:t>TA</w:t>
      </w:r>
      <w:r w:rsidRPr="00E949A5">
        <w:rPr>
          <w:sz w:val="24"/>
          <w:szCs w:val="24"/>
        </w:rPr>
        <w:t xml:space="preserve"> was obtained by the UE via Timing Advance Command MAC control element or PDCCH for transmission on CG-SDT,</w:t>
      </w:r>
    </w:p>
    <w:p w14:paraId="3A86E657" w14:textId="77777777" w:rsidR="00E949A5" w:rsidRPr="00E949A5" w:rsidRDefault="00E949A5" w:rsidP="00805DB8">
      <w:pPr>
        <w:pStyle w:val="ListParagraph"/>
        <w:numPr>
          <w:ilvl w:val="0"/>
          <w:numId w:val="36"/>
        </w:numPr>
        <w:spacing w:after="120" w:line="240" w:lineRule="auto"/>
        <w:ind w:firstLineChars="0"/>
        <w:jc w:val="both"/>
        <w:rPr>
          <w:sz w:val="24"/>
          <w:szCs w:val="24"/>
        </w:rPr>
      </w:pPr>
      <w:r w:rsidRPr="00E949A5">
        <w:rPr>
          <w:sz w:val="24"/>
          <w:szCs w:val="24"/>
        </w:rPr>
        <w:t>T1’ is the time when the UE has completed SSB-RSRP1,</w:t>
      </w:r>
    </w:p>
    <w:p w14:paraId="643F71F8" w14:textId="77777777" w:rsidR="00E949A5" w:rsidRPr="00E949A5" w:rsidRDefault="00E949A5" w:rsidP="00805DB8">
      <w:pPr>
        <w:pStyle w:val="ListParagraph"/>
        <w:numPr>
          <w:ilvl w:val="0"/>
          <w:numId w:val="36"/>
        </w:numPr>
        <w:spacing w:after="120" w:line="240" w:lineRule="auto"/>
        <w:ind w:firstLineChars="0"/>
        <w:jc w:val="both"/>
        <w:rPr>
          <w:sz w:val="24"/>
          <w:szCs w:val="24"/>
        </w:rPr>
      </w:pPr>
      <w:r w:rsidRPr="00E949A5">
        <w:rPr>
          <w:sz w:val="24"/>
          <w:szCs w:val="24"/>
        </w:rPr>
        <w:t>T2 is the time when the UE performs TA validation for transmission using CG-SDT,</w:t>
      </w:r>
    </w:p>
    <w:p w14:paraId="69E73F9F" w14:textId="2F946438" w:rsidR="00D669AC" w:rsidRDefault="00E949A5" w:rsidP="00805DB8">
      <w:pPr>
        <w:pStyle w:val="ListParagraph"/>
        <w:numPr>
          <w:ilvl w:val="0"/>
          <w:numId w:val="36"/>
        </w:numPr>
        <w:spacing w:after="120" w:line="240" w:lineRule="auto"/>
        <w:ind w:firstLineChars="0"/>
        <w:jc w:val="both"/>
        <w:rPr>
          <w:sz w:val="24"/>
          <w:szCs w:val="24"/>
        </w:rPr>
      </w:pPr>
      <w:r w:rsidRPr="00E949A5">
        <w:rPr>
          <w:sz w:val="24"/>
          <w:szCs w:val="24"/>
        </w:rPr>
        <w:t>T2’ is the time when the UE has completed SSB-RSRP2.</w:t>
      </w:r>
    </w:p>
    <w:p w14:paraId="1DD06E31" w14:textId="347BD4A8" w:rsidR="00805DB8" w:rsidRDefault="00805DB8" w:rsidP="00805DB8">
      <w:pPr>
        <w:spacing w:after="120"/>
        <w:jc w:val="both"/>
      </w:pPr>
      <w:r>
        <w:rPr>
          <w:rFonts w:eastAsia="SimSun"/>
        </w:rPr>
        <w:t xml:space="preserve">In LTE spec, the ‘800ms/1600ms’ in RSRP1 measurement window considers </w:t>
      </w:r>
      <w:r w:rsidRPr="00691C10">
        <w:rPr>
          <w:rFonts w:cs="v4.2.0"/>
        </w:rPr>
        <w:t xml:space="preserve">the measurement period for </w:t>
      </w:r>
      <w:r w:rsidRPr="00691C10">
        <w:t>intra frequency</w:t>
      </w:r>
      <w:r w:rsidRPr="00691C10">
        <w:rPr>
          <w:rFonts w:cs="v4.2.0"/>
        </w:rPr>
        <w:t xml:space="preserve"> measurements </w:t>
      </w:r>
      <w:r>
        <w:rPr>
          <w:rFonts w:cs="v4.2.0"/>
        </w:rPr>
        <w:t>i</w:t>
      </w:r>
      <w:r w:rsidRPr="00691C10">
        <w:rPr>
          <w:rFonts w:cs="v4.2.0"/>
        </w:rPr>
        <w:t xml:space="preserve">n the </w:t>
      </w:r>
      <w:r w:rsidRPr="00691C10">
        <w:t>RRC_CONNECTED state</w:t>
      </w:r>
      <w:r>
        <w:t>. However, in NR</w:t>
      </w:r>
      <w:r w:rsidR="00AB4522">
        <w:t>,</w:t>
      </w:r>
      <w:r>
        <w:t xml:space="preserve"> </w:t>
      </w:r>
      <w:r w:rsidR="00AB4522">
        <w:t xml:space="preserve">both FR1 and FR2 shall be </w:t>
      </w:r>
      <w:proofErr w:type="gramStart"/>
      <w:r w:rsidR="00AB4522">
        <w:t>taken into account</w:t>
      </w:r>
      <w:proofErr w:type="gramEnd"/>
      <w:r w:rsidR="00AB4522">
        <w:t>,</w:t>
      </w:r>
      <w:r>
        <w:t xml:space="preserve"> </w:t>
      </w:r>
      <w:r w:rsidR="00AB4522">
        <w:t>and we also need to remove the unnecessary factors from serving cell measurement period. In NR, the intra-frequency measurement period is defined as:</w:t>
      </w:r>
    </w:p>
    <w:tbl>
      <w:tblPr>
        <w:tblStyle w:val="TableGrid"/>
        <w:tblW w:w="0" w:type="auto"/>
        <w:tblLook w:val="04A0" w:firstRow="1" w:lastRow="0" w:firstColumn="1" w:lastColumn="0" w:noHBand="0" w:noVBand="1"/>
      </w:tblPr>
      <w:tblGrid>
        <w:gridCol w:w="9629"/>
      </w:tblGrid>
      <w:tr w:rsidR="00AB4522" w14:paraId="431EC691" w14:textId="77777777" w:rsidTr="00AB4522">
        <w:tc>
          <w:tcPr>
            <w:tcW w:w="9629" w:type="dxa"/>
          </w:tcPr>
          <w:p w14:paraId="076FC1B9" w14:textId="77777777" w:rsidR="00AB4522" w:rsidRDefault="00AB4522" w:rsidP="00805DB8">
            <w:pPr>
              <w:spacing w:after="120"/>
              <w:jc w:val="both"/>
            </w:pPr>
            <w:r>
              <w:rPr>
                <w:noProof/>
              </w:rPr>
              <w:lastRenderedPageBreak/>
              <w:drawing>
                <wp:inline distT="0" distB="0" distL="0" distR="0" wp14:anchorId="40C93A04" wp14:editId="4FD75FFA">
                  <wp:extent cx="5913565" cy="1502410"/>
                  <wp:effectExtent l="0" t="0" r="5080" b="0"/>
                  <wp:docPr id="2" name="Picture 2"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able&#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5915435" cy="1502885"/>
                          </a:xfrm>
                          <a:prstGeom prst="rect">
                            <a:avLst/>
                          </a:prstGeom>
                        </pic:spPr>
                      </pic:pic>
                    </a:graphicData>
                  </a:graphic>
                </wp:inline>
              </w:drawing>
            </w:r>
          </w:p>
          <w:p w14:paraId="68B6AD2F" w14:textId="7E37ECF9" w:rsidR="00AB4522" w:rsidRDefault="00AB4522" w:rsidP="00805DB8">
            <w:pPr>
              <w:spacing w:after="120"/>
              <w:jc w:val="both"/>
            </w:pPr>
            <w:r>
              <w:rPr>
                <w:noProof/>
              </w:rPr>
              <w:drawing>
                <wp:inline distT="0" distB="0" distL="0" distR="0" wp14:anchorId="428B101B" wp14:editId="3834BF36">
                  <wp:extent cx="5913120" cy="1741607"/>
                  <wp:effectExtent l="0" t="0" r="0" b="0"/>
                  <wp:docPr id="4" name="Picture 4"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able&#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922785" cy="1744454"/>
                          </a:xfrm>
                          <a:prstGeom prst="rect">
                            <a:avLst/>
                          </a:prstGeom>
                        </pic:spPr>
                      </pic:pic>
                    </a:graphicData>
                  </a:graphic>
                </wp:inline>
              </w:drawing>
            </w:r>
          </w:p>
        </w:tc>
      </w:tr>
    </w:tbl>
    <w:p w14:paraId="72F6D90C" w14:textId="5A9842EC" w:rsidR="00AB4522" w:rsidRDefault="00AB4522" w:rsidP="00805DB8">
      <w:pPr>
        <w:spacing w:after="120"/>
        <w:jc w:val="both"/>
      </w:pPr>
    </w:p>
    <w:p w14:paraId="1E4C3C71" w14:textId="4FF05D5D" w:rsidR="00AB4522" w:rsidRDefault="00AB4522" w:rsidP="00805DB8">
      <w:pPr>
        <w:spacing w:after="120"/>
        <w:jc w:val="both"/>
      </w:pPr>
      <w:proofErr w:type="spellStart"/>
      <w:r>
        <w:t>K</w:t>
      </w:r>
      <w:r w:rsidRPr="00AB4522">
        <w:rPr>
          <w:vertAlign w:val="subscript"/>
        </w:rPr>
        <w:t>p</w:t>
      </w:r>
      <w:proofErr w:type="spellEnd"/>
      <w:r>
        <w:t xml:space="preserve"> and K</w:t>
      </w:r>
      <w:r w:rsidRPr="00AB4522">
        <w:rPr>
          <w:vertAlign w:val="subscript"/>
        </w:rPr>
        <w:t>layer1_measurement</w:t>
      </w:r>
      <w:r>
        <w:t xml:space="preserve"> are factors </w:t>
      </w:r>
      <w:r w:rsidR="003518DC">
        <w:t>related with</w:t>
      </w:r>
      <w:r>
        <w:t xml:space="preserve"> L1 measurement </w:t>
      </w:r>
      <w:r w:rsidR="003518DC">
        <w:t xml:space="preserve">coordination and MG collision coordination, and they are not needed for CG-SDT in inactive mode. CSSF is a scaling factor for multiple intra-frequency carriers’ measurement in connected mode, and it’s not needed for CG-SDT in inactive mode. UE would coordinate to measure serving cell before SDT transmission rather than sharing measurement resource with other carriers. </w:t>
      </w:r>
    </w:p>
    <w:p w14:paraId="533A8B5B" w14:textId="5EEF6D89" w:rsidR="003518DC" w:rsidRPr="00AB4522" w:rsidRDefault="003518DC" w:rsidP="00805DB8">
      <w:pPr>
        <w:spacing w:after="120"/>
        <w:jc w:val="both"/>
      </w:pPr>
      <w:r>
        <w:t xml:space="preserve">In addition, regarding FR2 beam sweeping </w:t>
      </w:r>
      <w:r w:rsidR="00341611">
        <w:t xml:space="preserve">the </w:t>
      </w:r>
      <w:r w:rsidR="00305396">
        <w:t xml:space="preserve">NR </w:t>
      </w:r>
      <w:r w:rsidR="00341611">
        <w:t xml:space="preserve">measurement window shall also consider the beam sweeping factor when designing the lower boundary, </w:t>
      </w:r>
      <w:r w:rsidR="00305396">
        <w:t>while</w:t>
      </w:r>
      <w:r w:rsidR="00341611">
        <w:t xml:space="preserve"> in LTE we used one DRX cycle (when </w:t>
      </w:r>
      <w:proofErr w:type="spellStart"/>
      <w:r w:rsidR="00341611">
        <w:t>eDRX</w:t>
      </w:r>
      <w:proofErr w:type="spellEnd"/>
      <w:r w:rsidR="00341611">
        <w:t xml:space="preserve"> is not used) to be the lower boundary for measurement window</w:t>
      </w:r>
      <w:r w:rsidR="00305396">
        <w:t xml:space="preserve">. Thus, </w:t>
      </w:r>
      <w:r w:rsidR="00305396" w:rsidRPr="00805DB8">
        <w:rPr>
          <w:rFonts w:eastAsia="SimSun"/>
        </w:rPr>
        <w:t>M×DRX cycle</w:t>
      </w:r>
      <w:r w:rsidR="00305396">
        <w:rPr>
          <w:rFonts w:eastAsia="SimSun"/>
        </w:rPr>
        <w:t xml:space="preserve"> shall be used as lower boundary for NR RSRP1 and RSRP2 measurement window, where M is the beam sweeping factor for FR2, and 1 for FR1.</w:t>
      </w:r>
    </w:p>
    <w:p w14:paraId="23093E65" w14:textId="77777777" w:rsidR="00AB4522" w:rsidRDefault="00AB4522" w:rsidP="00AB4522">
      <w:pPr>
        <w:spacing w:after="120"/>
        <w:jc w:val="both"/>
        <w:rPr>
          <w:rFonts w:eastAsia="SimSun"/>
        </w:rPr>
      </w:pPr>
      <w:r>
        <w:rPr>
          <w:rFonts w:eastAsia="SimSun"/>
        </w:rPr>
        <w:t>The window for RSRP1 measurement can be defined as,</w:t>
      </w:r>
    </w:p>
    <w:p w14:paraId="34AB7844" w14:textId="77777777" w:rsidR="00AB4522" w:rsidRPr="0054524C" w:rsidRDefault="00AB4522" w:rsidP="0054524C">
      <w:pPr>
        <w:spacing w:after="120"/>
        <w:ind w:left="284"/>
        <w:jc w:val="both"/>
        <w:rPr>
          <w:rFonts w:eastAsia="SimSun"/>
          <w:i/>
          <w:iCs/>
        </w:rPr>
      </w:pPr>
      <w:r w:rsidRPr="0054524C">
        <w:rPr>
          <w:rFonts w:eastAsia="SimSun"/>
          <w:i/>
          <w:iCs/>
        </w:rPr>
        <w:t xml:space="preserve">(T1 – </w:t>
      </w:r>
      <w:proofErr w:type="gramStart"/>
      <w:r w:rsidRPr="0054524C">
        <w:rPr>
          <w:rFonts w:eastAsia="SimSun"/>
          <w:i/>
          <w:iCs/>
        </w:rPr>
        <w:t>min(</w:t>
      </w:r>
      <w:proofErr w:type="gramEnd"/>
      <w:r w:rsidRPr="0054524C">
        <w:rPr>
          <w:rFonts w:eastAsia="SimSun"/>
          <w:i/>
          <w:iCs/>
        </w:rPr>
        <w:t>NR-measurement-period, M×DRX cycle)) ≤ T1’ ≤(T1 + min(NR-measurement-period, M×DRX cycle))</w:t>
      </w:r>
    </w:p>
    <w:p w14:paraId="4374FFD3" w14:textId="77777777" w:rsidR="00450D9E" w:rsidRPr="0054524C" w:rsidRDefault="00450D9E" w:rsidP="0054524C">
      <w:pPr>
        <w:spacing w:after="120"/>
        <w:ind w:left="284"/>
        <w:jc w:val="both"/>
        <w:rPr>
          <w:rFonts w:eastAsia="SimSun"/>
          <w:i/>
          <w:iCs/>
        </w:rPr>
      </w:pPr>
      <w:proofErr w:type="gramStart"/>
      <w:r w:rsidRPr="0054524C">
        <w:rPr>
          <w:rFonts w:eastAsia="SimSun"/>
          <w:i/>
          <w:iCs/>
        </w:rPr>
        <w:t>Where</w:t>
      </w:r>
      <w:proofErr w:type="gramEnd"/>
      <w:r w:rsidRPr="0054524C">
        <w:rPr>
          <w:rFonts w:eastAsia="SimSun"/>
          <w:i/>
          <w:iCs/>
        </w:rPr>
        <w:t>,</w:t>
      </w:r>
    </w:p>
    <w:p w14:paraId="199277C3" w14:textId="61148C1B" w:rsidR="00AB4522" w:rsidRPr="0054524C" w:rsidRDefault="00450D9E" w:rsidP="0054524C">
      <w:pPr>
        <w:spacing w:after="120"/>
        <w:ind w:left="284"/>
        <w:jc w:val="both"/>
        <w:rPr>
          <w:rFonts w:eastAsia="SimSun"/>
          <w:i/>
          <w:iCs/>
        </w:rPr>
      </w:pPr>
      <w:r w:rsidRPr="0054524C">
        <w:rPr>
          <w:rFonts w:eastAsia="SimSun"/>
          <w:i/>
          <w:iCs/>
        </w:rPr>
        <w:t xml:space="preserve">NR-measurement-period is equivalent to gapless intra-frequency measurement period without </w:t>
      </w:r>
      <w:proofErr w:type="spellStart"/>
      <w:r w:rsidRPr="0054524C">
        <w:rPr>
          <w:i/>
          <w:iCs/>
        </w:rPr>
        <w:t>K</w:t>
      </w:r>
      <w:r w:rsidRPr="0054524C">
        <w:rPr>
          <w:i/>
          <w:iCs/>
          <w:vertAlign w:val="subscript"/>
        </w:rPr>
        <w:t>p</w:t>
      </w:r>
      <w:proofErr w:type="spellEnd"/>
      <w:r w:rsidR="00DC30EF" w:rsidRPr="0054524C">
        <w:rPr>
          <w:i/>
          <w:iCs/>
        </w:rPr>
        <w:t xml:space="preserve">, </w:t>
      </w:r>
      <w:r w:rsidRPr="0054524C">
        <w:rPr>
          <w:i/>
          <w:iCs/>
        </w:rPr>
        <w:t>K</w:t>
      </w:r>
      <w:r w:rsidRPr="0054524C">
        <w:rPr>
          <w:i/>
          <w:iCs/>
          <w:vertAlign w:val="subscript"/>
        </w:rPr>
        <w:t xml:space="preserve">layer1_measurement </w:t>
      </w:r>
      <w:r w:rsidR="00DC30EF" w:rsidRPr="0054524C">
        <w:rPr>
          <w:i/>
          <w:iCs/>
        </w:rPr>
        <w:t xml:space="preserve">and </w:t>
      </w:r>
      <w:r w:rsidR="00DC30EF" w:rsidRPr="0054524C">
        <w:rPr>
          <w:rFonts w:eastAsia="SimSun"/>
          <w:i/>
          <w:iCs/>
        </w:rPr>
        <w:t xml:space="preserve">DRX </w:t>
      </w:r>
      <w:r w:rsidRPr="0054524C">
        <w:rPr>
          <w:rFonts w:eastAsia="SimSun"/>
          <w:i/>
          <w:iCs/>
        </w:rPr>
        <w:t>in connected mode (section 9.2.5.2 TS38.133)</w:t>
      </w:r>
      <w:r w:rsidR="00DC30EF" w:rsidRPr="0054524C">
        <w:rPr>
          <w:rFonts w:eastAsia="SimSun"/>
          <w:i/>
          <w:iCs/>
        </w:rPr>
        <w:t>.</w:t>
      </w:r>
    </w:p>
    <w:p w14:paraId="6C4FE28A" w14:textId="61E470E4" w:rsidR="00DC30EF" w:rsidRPr="0054524C" w:rsidRDefault="00DC30EF" w:rsidP="0054524C">
      <w:pPr>
        <w:spacing w:after="120"/>
        <w:ind w:left="284"/>
        <w:jc w:val="both"/>
        <w:rPr>
          <w:rFonts w:eastAsia="SimSun"/>
          <w:i/>
          <w:iCs/>
        </w:rPr>
      </w:pPr>
      <w:r w:rsidRPr="0054524C">
        <w:rPr>
          <w:rFonts w:eastAsia="SimSun"/>
          <w:i/>
          <w:iCs/>
        </w:rPr>
        <w:t>M is the beam sweeping factor for FR2 as defined in table 4.2.2.2-1 (IDLE mode serving cell measurement period table), and 1 for FR1.</w:t>
      </w:r>
    </w:p>
    <w:p w14:paraId="6FD88027" w14:textId="54DAFB74" w:rsidR="0054524C" w:rsidRDefault="00DC30EF" w:rsidP="0054524C">
      <w:pPr>
        <w:spacing w:after="120"/>
        <w:jc w:val="both"/>
        <w:rPr>
          <w:rFonts w:eastAsia="SimSun"/>
        </w:rPr>
      </w:pPr>
      <w:r>
        <w:rPr>
          <w:rFonts w:eastAsia="SimSun"/>
        </w:rPr>
        <w:t xml:space="preserve">Similar as the window design for RSRP1. The only difference for RSRP2 </w:t>
      </w:r>
      <w:r w:rsidR="0054524C">
        <w:rPr>
          <w:rFonts w:eastAsia="SimSun"/>
        </w:rPr>
        <w:t>window is we don’t need to consider the measurement after T2 (TA validation timing point). Thus, RSRP2 window can be defined as:</w:t>
      </w:r>
    </w:p>
    <w:p w14:paraId="230BC0FF" w14:textId="3166EE91" w:rsidR="0054524C" w:rsidRDefault="0054524C" w:rsidP="0054524C">
      <w:pPr>
        <w:spacing w:after="120"/>
        <w:ind w:left="284"/>
        <w:jc w:val="both"/>
        <w:rPr>
          <w:rFonts w:eastAsia="SimSun"/>
          <w:i/>
          <w:iCs/>
        </w:rPr>
      </w:pPr>
      <w:r w:rsidRPr="0054524C">
        <w:rPr>
          <w:rFonts w:eastAsia="SimSun"/>
          <w:i/>
          <w:iCs/>
        </w:rPr>
        <w:t xml:space="preserve">T2 – </w:t>
      </w:r>
      <w:proofErr w:type="gramStart"/>
      <w:r w:rsidRPr="0054524C">
        <w:rPr>
          <w:rFonts w:eastAsia="SimSun"/>
          <w:i/>
          <w:iCs/>
        </w:rPr>
        <w:t>min(</w:t>
      </w:r>
      <w:proofErr w:type="gramEnd"/>
      <w:r>
        <w:rPr>
          <w:rFonts w:eastAsia="SimSun"/>
          <w:i/>
          <w:iCs/>
        </w:rPr>
        <w:t>NR</w:t>
      </w:r>
      <w:r w:rsidRPr="0054524C">
        <w:rPr>
          <w:rFonts w:eastAsia="SimSun"/>
          <w:i/>
          <w:iCs/>
        </w:rPr>
        <w:t>-measurement-period, M×DRX cycle) ≤ T2’ ≤ T2</w:t>
      </w:r>
    </w:p>
    <w:p w14:paraId="50B93951" w14:textId="350ADD60" w:rsidR="0054524C" w:rsidRPr="0054524C" w:rsidRDefault="0054524C" w:rsidP="0054524C">
      <w:pPr>
        <w:spacing w:after="120"/>
        <w:ind w:left="284"/>
        <w:jc w:val="both"/>
        <w:rPr>
          <w:rFonts w:eastAsia="SimSun"/>
          <w:i/>
          <w:iCs/>
        </w:rPr>
      </w:pPr>
      <w:proofErr w:type="gramStart"/>
      <w:r>
        <w:rPr>
          <w:rFonts w:eastAsia="SimSun"/>
          <w:i/>
          <w:iCs/>
        </w:rPr>
        <w:t>Where</w:t>
      </w:r>
      <w:proofErr w:type="gramEnd"/>
      <w:r>
        <w:rPr>
          <w:rFonts w:eastAsia="SimSun"/>
          <w:i/>
          <w:iCs/>
        </w:rPr>
        <w:t>,</w:t>
      </w:r>
    </w:p>
    <w:p w14:paraId="16095E5E" w14:textId="77777777" w:rsidR="0054524C" w:rsidRPr="0054524C" w:rsidRDefault="0054524C" w:rsidP="0054524C">
      <w:pPr>
        <w:spacing w:after="120"/>
        <w:ind w:left="284"/>
        <w:jc w:val="both"/>
        <w:rPr>
          <w:rFonts w:eastAsia="SimSun"/>
          <w:i/>
          <w:iCs/>
        </w:rPr>
      </w:pPr>
      <w:r w:rsidRPr="0054524C">
        <w:rPr>
          <w:rFonts w:eastAsia="SimSun"/>
          <w:i/>
          <w:iCs/>
        </w:rPr>
        <w:t xml:space="preserve">NR-measurement-period is equivalent to gapless intra-frequency measurement period without </w:t>
      </w:r>
      <w:proofErr w:type="spellStart"/>
      <w:r w:rsidRPr="0054524C">
        <w:rPr>
          <w:i/>
          <w:iCs/>
        </w:rPr>
        <w:t>K</w:t>
      </w:r>
      <w:r w:rsidRPr="0054524C">
        <w:rPr>
          <w:i/>
          <w:iCs/>
          <w:vertAlign w:val="subscript"/>
        </w:rPr>
        <w:t>p</w:t>
      </w:r>
      <w:proofErr w:type="spellEnd"/>
      <w:r w:rsidRPr="0054524C">
        <w:rPr>
          <w:i/>
          <w:iCs/>
        </w:rPr>
        <w:t>, K</w:t>
      </w:r>
      <w:r w:rsidRPr="0054524C">
        <w:rPr>
          <w:i/>
          <w:iCs/>
          <w:vertAlign w:val="subscript"/>
        </w:rPr>
        <w:t xml:space="preserve">layer1_measurement </w:t>
      </w:r>
      <w:r w:rsidRPr="0054524C">
        <w:rPr>
          <w:i/>
          <w:iCs/>
        </w:rPr>
        <w:t xml:space="preserve">and </w:t>
      </w:r>
      <w:r w:rsidRPr="0054524C">
        <w:rPr>
          <w:rFonts w:eastAsia="SimSun"/>
          <w:i/>
          <w:iCs/>
        </w:rPr>
        <w:t>DRX in connected mode (section 9.2.5.2 TS38.133).</w:t>
      </w:r>
    </w:p>
    <w:p w14:paraId="007608CE" w14:textId="77777777" w:rsidR="0054524C" w:rsidRPr="00450D9E" w:rsidRDefault="0054524C" w:rsidP="0054524C">
      <w:pPr>
        <w:spacing w:after="120"/>
        <w:ind w:left="284"/>
        <w:jc w:val="both"/>
        <w:rPr>
          <w:rFonts w:eastAsia="SimSun"/>
        </w:rPr>
      </w:pPr>
      <w:r w:rsidRPr="0054524C">
        <w:rPr>
          <w:rFonts w:eastAsia="SimSun"/>
          <w:i/>
          <w:iCs/>
        </w:rPr>
        <w:lastRenderedPageBreak/>
        <w:t>M is the beam sweeping factor for FR2 as defined in table 4.2.2.2-1 (IDLE mode serving cell measurement period table), and 1 for FR1</w:t>
      </w:r>
      <w:r>
        <w:rPr>
          <w:rFonts w:eastAsia="SimSun"/>
        </w:rPr>
        <w:t>.</w:t>
      </w:r>
    </w:p>
    <w:p w14:paraId="474D94A7" w14:textId="661491DE" w:rsidR="0054524C" w:rsidRPr="0054524C" w:rsidRDefault="0054524C" w:rsidP="0054524C">
      <w:pPr>
        <w:spacing w:after="120"/>
        <w:jc w:val="both"/>
        <w:rPr>
          <w:rFonts w:eastAsia="SimSun"/>
          <w:b/>
          <w:bCs/>
          <w:i/>
          <w:iCs/>
        </w:rPr>
      </w:pPr>
      <w:r w:rsidRPr="0054524C">
        <w:rPr>
          <w:rFonts w:eastAsia="SimSun"/>
          <w:b/>
          <w:bCs/>
          <w:i/>
          <w:iCs/>
        </w:rPr>
        <w:t xml:space="preserve">Proposal 2: The RSRP1 and RSRP2 measurement windows for </w:t>
      </w:r>
      <w:r w:rsidRPr="0054524C">
        <w:rPr>
          <w:b/>
          <w:bCs/>
          <w:i/>
          <w:iCs/>
        </w:rPr>
        <w:t xml:space="preserve">RSRP-Change-Criteria based </w:t>
      </w:r>
      <w:r w:rsidRPr="0054524C">
        <w:rPr>
          <w:rFonts w:eastAsia="SimSun"/>
          <w:b/>
          <w:bCs/>
          <w:i/>
          <w:iCs/>
        </w:rPr>
        <w:t>TA validation are defined as followings:</w:t>
      </w:r>
    </w:p>
    <w:p w14:paraId="5DFDAA28" w14:textId="47B1457B" w:rsidR="0054524C" w:rsidRPr="0054524C" w:rsidRDefault="0054524C" w:rsidP="0054524C">
      <w:pPr>
        <w:spacing w:after="120"/>
        <w:jc w:val="both"/>
        <w:rPr>
          <w:rFonts w:eastAsia="SimSun"/>
          <w:b/>
          <w:bCs/>
          <w:i/>
          <w:iCs/>
        </w:rPr>
      </w:pPr>
      <w:r w:rsidRPr="0054524C">
        <w:rPr>
          <w:rFonts w:eastAsia="SimSun"/>
          <w:b/>
          <w:bCs/>
          <w:i/>
          <w:iCs/>
        </w:rPr>
        <w:t>The window for RSRP1 measurement:</w:t>
      </w:r>
    </w:p>
    <w:p w14:paraId="6775A528" w14:textId="77777777" w:rsidR="0054524C" w:rsidRPr="0054524C" w:rsidRDefault="0054524C" w:rsidP="0054524C">
      <w:pPr>
        <w:spacing w:after="120"/>
        <w:ind w:left="284"/>
        <w:jc w:val="both"/>
        <w:rPr>
          <w:rFonts w:eastAsia="SimSun"/>
          <w:b/>
          <w:bCs/>
          <w:i/>
          <w:iCs/>
        </w:rPr>
      </w:pPr>
      <w:r w:rsidRPr="0054524C">
        <w:rPr>
          <w:rFonts w:eastAsia="SimSun"/>
          <w:b/>
          <w:bCs/>
          <w:i/>
          <w:iCs/>
        </w:rPr>
        <w:t xml:space="preserve">(T1 – </w:t>
      </w:r>
      <w:proofErr w:type="gramStart"/>
      <w:r w:rsidRPr="0054524C">
        <w:rPr>
          <w:rFonts w:eastAsia="SimSun"/>
          <w:b/>
          <w:bCs/>
          <w:i/>
          <w:iCs/>
        </w:rPr>
        <w:t>min(</w:t>
      </w:r>
      <w:proofErr w:type="gramEnd"/>
      <w:r w:rsidRPr="0054524C">
        <w:rPr>
          <w:rFonts w:eastAsia="SimSun"/>
          <w:b/>
          <w:bCs/>
          <w:i/>
          <w:iCs/>
        </w:rPr>
        <w:t>NR-measurement-period, M×DRX cycle)) ≤ T1’ ≤(T1 + min(NR-measurement-period, M×DRX cycle))</w:t>
      </w:r>
    </w:p>
    <w:p w14:paraId="4A5D7379" w14:textId="10F4338C" w:rsidR="0054524C" w:rsidRPr="0054524C" w:rsidRDefault="0054524C" w:rsidP="0054524C">
      <w:pPr>
        <w:spacing w:after="120"/>
        <w:jc w:val="both"/>
        <w:rPr>
          <w:rFonts w:eastAsia="SimSun"/>
          <w:b/>
          <w:bCs/>
          <w:i/>
          <w:iCs/>
        </w:rPr>
      </w:pPr>
      <w:r w:rsidRPr="0054524C">
        <w:rPr>
          <w:rFonts w:eastAsia="SimSun"/>
          <w:b/>
          <w:bCs/>
          <w:i/>
          <w:iCs/>
        </w:rPr>
        <w:t>The window for RSRP2 measurement:</w:t>
      </w:r>
    </w:p>
    <w:p w14:paraId="40F8FDC5" w14:textId="09D8C04D" w:rsidR="0054524C" w:rsidRPr="0054524C" w:rsidRDefault="0054524C" w:rsidP="0054524C">
      <w:pPr>
        <w:spacing w:after="120"/>
        <w:ind w:left="284"/>
        <w:jc w:val="both"/>
        <w:rPr>
          <w:rFonts w:eastAsia="SimSun"/>
          <w:b/>
          <w:bCs/>
          <w:i/>
          <w:iCs/>
        </w:rPr>
      </w:pPr>
      <w:r w:rsidRPr="0054524C">
        <w:rPr>
          <w:rFonts w:eastAsia="SimSun"/>
          <w:b/>
          <w:bCs/>
          <w:i/>
          <w:iCs/>
        </w:rPr>
        <w:t xml:space="preserve">T2 – </w:t>
      </w:r>
      <w:proofErr w:type="gramStart"/>
      <w:r w:rsidRPr="0054524C">
        <w:rPr>
          <w:rFonts w:eastAsia="SimSun"/>
          <w:b/>
          <w:bCs/>
          <w:i/>
          <w:iCs/>
        </w:rPr>
        <w:t>min(</w:t>
      </w:r>
      <w:proofErr w:type="gramEnd"/>
      <w:r w:rsidRPr="0054524C">
        <w:rPr>
          <w:rFonts w:eastAsia="SimSun"/>
          <w:b/>
          <w:bCs/>
          <w:i/>
          <w:iCs/>
        </w:rPr>
        <w:t>NR-measurement-period, M×DRX cycle) ≤ T2’ ≤ T2</w:t>
      </w:r>
    </w:p>
    <w:p w14:paraId="3BE61422" w14:textId="5ED800B0" w:rsidR="0054524C" w:rsidRPr="0054524C" w:rsidRDefault="0054524C" w:rsidP="0054524C">
      <w:pPr>
        <w:spacing w:after="120"/>
        <w:jc w:val="both"/>
        <w:rPr>
          <w:rFonts w:eastAsia="SimSun"/>
          <w:b/>
          <w:bCs/>
          <w:i/>
          <w:iCs/>
        </w:rPr>
      </w:pPr>
      <w:proofErr w:type="gramStart"/>
      <w:r w:rsidRPr="0054524C">
        <w:rPr>
          <w:rFonts w:eastAsia="SimSun"/>
          <w:b/>
          <w:bCs/>
          <w:i/>
          <w:iCs/>
        </w:rPr>
        <w:t>Where</w:t>
      </w:r>
      <w:proofErr w:type="gramEnd"/>
      <w:r w:rsidRPr="0054524C">
        <w:rPr>
          <w:rFonts w:eastAsia="SimSun"/>
          <w:b/>
          <w:bCs/>
          <w:i/>
          <w:iCs/>
        </w:rPr>
        <w:t>,</w:t>
      </w:r>
    </w:p>
    <w:p w14:paraId="0CE218BE" w14:textId="77777777" w:rsidR="0054524C" w:rsidRPr="0054524C" w:rsidRDefault="0054524C" w:rsidP="00097E50">
      <w:pPr>
        <w:pStyle w:val="ListParagraph"/>
        <w:numPr>
          <w:ilvl w:val="0"/>
          <w:numId w:val="36"/>
        </w:numPr>
        <w:snapToGrid w:val="0"/>
        <w:spacing w:after="120" w:line="240" w:lineRule="auto"/>
        <w:ind w:left="706" w:firstLineChars="0" w:hanging="418"/>
        <w:jc w:val="both"/>
        <w:rPr>
          <w:b/>
          <w:bCs/>
          <w:i/>
          <w:iCs/>
          <w:sz w:val="24"/>
          <w:szCs w:val="24"/>
        </w:rPr>
      </w:pPr>
      <w:r w:rsidRPr="0054524C">
        <w:rPr>
          <w:b/>
          <w:bCs/>
          <w:i/>
          <w:iCs/>
          <w:sz w:val="24"/>
          <w:szCs w:val="24"/>
        </w:rPr>
        <w:t>T1 is the time when the latest N</w:t>
      </w:r>
      <w:r w:rsidRPr="0054524C">
        <w:rPr>
          <w:b/>
          <w:bCs/>
          <w:i/>
          <w:iCs/>
          <w:sz w:val="24"/>
          <w:szCs w:val="24"/>
          <w:vertAlign w:val="subscript"/>
        </w:rPr>
        <w:t>TA</w:t>
      </w:r>
      <w:r w:rsidRPr="0054524C">
        <w:rPr>
          <w:b/>
          <w:bCs/>
          <w:i/>
          <w:iCs/>
          <w:sz w:val="24"/>
          <w:szCs w:val="24"/>
        </w:rPr>
        <w:t xml:space="preserve"> was obtained by the UE via Timing Advance Command MAC control element or PDCCH for transmission on CG-SDT,</w:t>
      </w:r>
    </w:p>
    <w:p w14:paraId="58DBDB5B" w14:textId="77777777" w:rsidR="0054524C" w:rsidRPr="0054524C" w:rsidRDefault="0054524C" w:rsidP="00097E50">
      <w:pPr>
        <w:pStyle w:val="ListParagraph"/>
        <w:numPr>
          <w:ilvl w:val="0"/>
          <w:numId w:val="36"/>
        </w:numPr>
        <w:snapToGrid w:val="0"/>
        <w:spacing w:after="120" w:line="240" w:lineRule="auto"/>
        <w:ind w:left="706" w:firstLineChars="0" w:hanging="418"/>
        <w:jc w:val="both"/>
        <w:rPr>
          <w:b/>
          <w:bCs/>
          <w:i/>
          <w:iCs/>
          <w:sz w:val="24"/>
          <w:szCs w:val="24"/>
        </w:rPr>
      </w:pPr>
      <w:r w:rsidRPr="0054524C">
        <w:rPr>
          <w:b/>
          <w:bCs/>
          <w:i/>
          <w:iCs/>
          <w:sz w:val="24"/>
          <w:szCs w:val="24"/>
        </w:rPr>
        <w:t>T1’ is the time when the UE has completed SSB-RSRP1,</w:t>
      </w:r>
    </w:p>
    <w:p w14:paraId="057B23F4" w14:textId="77777777" w:rsidR="0054524C" w:rsidRPr="0054524C" w:rsidRDefault="0054524C" w:rsidP="00097E50">
      <w:pPr>
        <w:pStyle w:val="ListParagraph"/>
        <w:numPr>
          <w:ilvl w:val="0"/>
          <w:numId w:val="36"/>
        </w:numPr>
        <w:snapToGrid w:val="0"/>
        <w:spacing w:after="120" w:line="240" w:lineRule="auto"/>
        <w:ind w:left="706" w:firstLineChars="0" w:hanging="418"/>
        <w:jc w:val="both"/>
        <w:rPr>
          <w:b/>
          <w:bCs/>
          <w:i/>
          <w:iCs/>
          <w:sz w:val="24"/>
          <w:szCs w:val="24"/>
        </w:rPr>
      </w:pPr>
      <w:r w:rsidRPr="0054524C">
        <w:rPr>
          <w:b/>
          <w:bCs/>
          <w:i/>
          <w:iCs/>
          <w:sz w:val="24"/>
          <w:szCs w:val="24"/>
        </w:rPr>
        <w:t>T2 is the time when the UE performs TA validation for transmission using CG-SDT,</w:t>
      </w:r>
    </w:p>
    <w:p w14:paraId="1F9F5427" w14:textId="63EAA304" w:rsidR="0054524C" w:rsidRPr="0054524C" w:rsidRDefault="0054524C" w:rsidP="00097E50">
      <w:pPr>
        <w:pStyle w:val="ListParagraph"/>
        <w:numPr>
          <w:ilvl w:val="0"/>
          <w:numId w:val="36"/>
        </w:numPr>
        <w:snapToGrid w:val="0"/>
        <w:spacing w:after="120" w:line="240" w:lineRule="auto"/>
        <w:ind w:left="706" w:firstLineChars="0" w:hanging="418"/>
        <w:jc w:val="both"/>
        <w:rPr>
          <w:b/>
          <w:bCs/>
          <w:i/>
          <w:iCs/>
          <w:sz w:val="24"/>
          <w:szCs w:val="24"/>
        </w:rPr>
      </w:pPr>
      <w:r w:rsidRPr="0054524C">
        <w:rPr>
          <w:b/>
          <w:bCs/>
          <w:i/>
          <w:iCs/>
          <w:sz w:val="24"/>
          <w:szCs w:val="24"/>
        </w:rPr>
        <w:t>T2’ is the time when the UE has completed SSB-RSRP2.</w:t>
      </w:r>
    </w:p>
    <w:p w14:paraId="3D9A177F" w14:textId="77777777" w:rsidR="0054524C" w:rsidRPr="0054524C" w:rsidRDefault="0054524C" w:rsidP="00097E50">
      <w:pPr>
        <w:pStyle w:val="ListParagraph"/>
        <w:numPr>
          <w:ilvl w:val="0"/>
          <w:numId w:val="36"/>
        </w:numPr>
        <w:snapToGrid w:val="0"/>
        <w:spacing w:after="120" w:line="240" w:lineRule="auto"/>
        <w:ind w:left="706" w:firstLineChars="0" w:hanging="418"/>
        <w:jc w:val="both"/>
        <w:rPr>
          <w:b/>
          <w:bCs/>
          <w:i/>
          <w:iCs/>
          <w:sz w:val="24"/>
          <w:szCs w:val="24"/>
        </w:rPr>
      </w:pPr>
      <w:r w:rsidRPr="0054524C">
        <w:rPr>
          <w:b/>
          <w:bCs/>
          <w:i/>
          <w:iCs/>
          <w:sz w:val="24"/>
          <w:szCs w:val="24"/>
        </w:rPr>
        <w:t xml:space="preserve">NR-measurement-period is equivalent to gapless intra-frequency measurement period without </w:t>
      </w:r>
      <w:proofErr w:type="spellStart"/>
      <w:r w:rsidRPr="0054524C">
        <w:rPr>
          <w:b/>
          <w:bCs/>
          <w:i/>
          <w:iCs/>
          <w:sz w:val="24"/>
          <w:szCs w:val="24"/>
        </w:rPr>
        <w:t>K</w:t>
      </w:r>
      <w:r w:rsidRPr="0054524C">
        <w:rPr>
          <w:b/>
          <w:bCs/>
          <w:i/>
          <w:iCs/>
          <w:sz w:val="24"/>
          <w:szCs w:val="24"/>
          <w:vertAlign w:val="subscript"/>
        </w:rPr>
        <w:t>p</w:t>
      </w:r>
      <w:proofErr w:type="spellEnd"/>
      <w:r w:rsidRPr="0054524C">
        <w:rPr>
          <w:b/>
          <w:bCs/>
          <w:i/>
          <w:iCs/>
          <w:sz w:val="24"/>
          <w:szCs w:val="24"/>
        </w:rPr>
        <w:t>, K</w:t>
      </w:r>
      <w:r w:rsidRPr="0054524C">
        <w:rPr>
          <w:b/>
          <w:bCs/>
          <w:i/>
          <w:iCs/>
          <w:sz w:val="24"/>
          <w:szCs w:val="24"/>
          <w:vertAlign w:val="subscript"/>
        </w:rPr>
        <w:t xml:space="preserve">layer1_measurement </w:t>
      </w:r>
      <w:r w:rsidRPr="0054524C">
        <w:rPr>
          <w:b/>
          <w:bCs/>
          <w:i/>
          <w:iCs/>
          <w:sz w:val="24"/>
          <w:szCs w:val="24"/>
        </w:rPr>
        <w:t>and DRX in connected mode (section 9.2.5.2 TS38.133).</w:t>
      </w:r>
    </w:p>
    <w:p w14:paraId="5B844837" w14:textId="0EC485E0" w:rsidR="0054524C" w:rsidRPr="0054524C" w:rsidRDefault="0054524C" w:rsidP="00097E50">
      <w:pPr>
        <w:pStyle w:val="ListParagraph"/>
        <w:numPr>
          <w:ilvl w:val="0"/>
          <w:numId w:val="36"/>
        </w:numPr>
        <w:snapToGrid w:val="0"/>
        <w:spacing w:after="120" w:line="240" w:lineRule="auto"/>
        <w:ind w:left="706" w:firstLineChars="0" w:hanging="418"/>
        <w:jc w:val="both"/>
        <w:rPr>
          <w:b/>
          <w:bCs/>
          <w:i/>
          <w:iCs/>
          <w:sz w:val="24"/>
          <w:szCs w:val="24"/>
        </w:rPr>
      </w:pPr>
      <w:r w:rsidRPr="0054524C">
        <w:rPr>
          <w:b/>
          <w:bCs/>
          <w:i/>
          <w:iCs/>
          <w:sz w:val="24"/>
          <w:szCs w:val="24"/>
        </w:rPr>
        <w:t>M is the beam sweeping factor for FR2 as defined in table 4.2.2.2-1</w:t>
      </w:r>
      <w:r w:rsidR="00105157">
        <w:rPr>
          <w:b/>
          <w:bCs/>
          <w:i/>
          <w:iCs/>
          <w:sz w:val="24"/>
          <w:szCs w:val="24"/>
          <w:lang w:val="en-US"/>
        </w:rPr>
        <w:t xml:space="preserve"> </w:t>
      </w:r>
      <w:r w:rsidRPr="0054524C">
        <w:rPr>
          <w:b/>
          <w:bCs/>
          <w:i/>
          <w:iCs/>
          <w:sz w:val="24"/>
          <w:szCs w:val="24"/>
        </w:rPr>
        <w:t>(serving cell measurement period table), and 1 for FR1.</w:t>
      </w:r>
    </w:p>
    <w:p w14:paraId="4E835F2B" w14:textId="2ADF6EE8" w:rsidR="00097E50" w:rsidRPr="00B377A8" w:rsidRDefault="00097E50" w:rsidP="00097E50">
      <w:pPr>
        <w:pStyle w:val="ListParagraph"/>
        <w:numPr>
          <w:ilvl w:val="0"/>
          <w:numId w:val="35"/>
        </w:numPr>
        <w:ind w:firstLineChars="0"/>
        <w:jc w:val="both"/>
        <w:rPr>
          <w:rFonts w:eastAsiaTheme="minorEastAsia"/>
          <w:b/>
          <w:bCs/>
          <w:sz w:val="24"/>
          <w:szCs w:val="24"/>
          <w:u w:val="single"/>
          <w:lang w:val="en-US"/>
        </w:rPr>
      </w:pPr>
      <w:r>
        <w:rPr>
          <w:rFonts w:eastAsiaTheme="minorEastAsia"/>
          <w:b/>
          <w:bCs/>
          <w:sz w:val="24"/>
          <w:szCs w:val="24"/>
          <w:u w:val="single"/>
          <w:lang w:val="en-US"/>
        </w:rPr>
        <w:t>RRM requirement applicability for CG-SDT</w:t>
      </w:r>
    </w:p>
    <w:p w14:paraId="12A781BB" w14:textId="57E0EAEA" w:rsidR="00097E50" w:rsidRDefault="00097E50" w:rsidP="0054524C">
      <w:pPr>
        <w:spacing w:after="120"/>
        <w:jc w:val="both"/>
        <w:rPr>
          <w:rFonts w:eastAsia="SimSun"/>
        </w:rPr>
      </w:pPr>
      <w:r>
        <w:rPr>
          <w:rFonts w:eastAsia="SimSun"/>
        </w:rPr>
        <w:t xml:space="preserve">Even though the beam correspondence (BC) is discussed in RF session, it would be also </w:t>
      </w:r>
      <w:r w:rsidR="000F4F3F">
        <w:rPr>
          <w:rFonts w:eastAsia="SimSun"/>
        </w:rPr>
        <w:t>necessary</w:t>
      </w:r>
      <w:r>
        <w:rPr>
          <w:rFonts w:eastAsia="SimSun"/>
        </w:rPr>
        <w:t xml:space="preserve"> to clarify the RRM requirement applicability for CG-SDT based on UE BC capability. Since FR2 CG-SDT is using the Tx beam based on the beam information derived from DL RS directly or indirectly, we assume only BC capable UE is required to meet those RRM requirement</w:t>
      </w:r>
      <w:r w:rsidR="000F4F3F">
        <w:rPr>
          <w:rFonts w:eastAsia="SimSun"/>
        </w:rPr>
        <w:t>s</w:t>
      </w:r>
      <w:r>
        <w:rPr>
          <w:rFonts w:eastAsia="SimSun"/>
        </w:rPr>
        <w:t xml:space="preserve"> for CG-SDT in Rel-17.</w:t>
      </w:r>
    </w:p>
    <w:p w14:paraId="3B7CCB90" w14:textId="4DF35D10" w:rsidR="0054524C" w:rsidRPr="000F4F3F" w:rsidRDefault="00097E50" w:rsidP="0054524C">
      <w:pPr>
        <w:spacing w:after="120"/>
        <w:jc w:val="both"/>
        <w:rPr>
          <w:rFonts w:eastAsia="SimSun"/>
          <w:b/>
          <w:bCs/>
          <w:i/>
          <w:iCs/>
        </w:rPr>
      </w:pPr>
      <w:r w:rsidRPr="000F4F3F">
        <w:rPr>
          <w:rFonts w:eastAsia="SimSun"/>
          <w:b/>
          <w:bCs/>
          <w:i/>
          <w:iCs/>
        </w:rPr>
        <w:t xml:space="preserve">Proposal </w:t>
      </w:r>
      <w:r w:rsidR="000F4F3F" w:rsidRPr="000F4F3F">
        <w:rPr>
          <w:rFonts w:eastAsia="SimSun"/>
          <w:b/>
          <w:bCs/>
          <w:i/>
          <w:iCs/>
        </w:rPr>
        <w:t>3</w:t>
      </w:r>
      <w:r w:rsidRPr="000F4F3F">
        <w:rPr>
          <w:rFonts w:eastAsia="SimSun"/>
          <w:b/>
          <w:bCs/>
          <w:i/>
          <w:iCs/>
        </w:rPr>
        <w:t>: Rel-17 RRM requirement</w:t>
      </w:r>
      <w:r w:rsidR="000F4F3F" w:rsidRPr="000F4F3F">
        <w:rPr>
          <w:rFonts w:eastAsia="SimSun"/>
          <w:b/>
          <w:bCs/>
          <w:i/>
          <w:iCs/>
        </w:rPr>
        <w:t>s</w:t>
      </w:r>
      <w:r w:rsidRPr="000F4F3F">
        <w:rPr>
          <w:rFonts w:eastAsia="SimSun"/>
          <w:b/>
          <w:bCs/>
          <w:i/>
          <w:iCs/>
        </w:rPr>
        <w:t xml:space="preserve"> for CG-SDT in FR2 only appl</w:t>
      </w:r>
      <w:r w:rsidR="000F4F3F" w:rsidRPr="000F4F3F">
        <w:rPr>
          <w:rFonts w:eastAsia="SimSun"/>
          <w:b/>
          <w:bCs/>
          <w:i/>
          <w:iCs/>
        </w:rPr>
        <w:t>y</w:t>
      </w:r>
      <w:r w:rsidRPr="000F4F3F">
        <w:rPr>
          <w:rFonts w:eastAsia="SimSun"/>
          <w:b/>
          <w:bCs/>
          <w:i/>
          <w:iCs/>
        </w:rPr>
        <w:t xml:space="preserve"> to </w:t>
      </w:r>
      <w:r w:rsidR="000F4F3F" w:rsidRPr="000F4F3F">
        <w:rPr>
          <w:rFonts w:eastAsia="SimSun"/>
          <w:b/>
          <w:bCs/>
          <w:i/>
          <w:iCs/>
        </w:rPr>
        <w:t>the UEs capable of beam correspondence.</w:t>
      </w:r>
      <w:r w:rsidRPr="000F4F3F">
        <w:rPr>
          <w:rFonts w:eastAsia="SimSun"/>
          <w:b/>
          <w:bCs/>
          <w:i/>
          <w:iCs/>
        </w:rPr>
        <w:t xml:space="preserve"> </w:t>
      </w: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4BDCDAF7" w14:textId="08DE710D" w:rsidR="00A85712" w:rsidRPr="00526165" w:rsidRDefault="00A85712" w:rsidP="00526165">
      <w:pPr>
        <w:spacing w:after="120"/>
        <w:jc w:val="both"/>
      </w:pPr>
      <w:r w:rsidRPr="00526165">
        <w:t>In this contribution we discuss the RRM requirements for SRS antenna port switching.</w:t>
      </w:r>
    </w:p>
    <w:p w14:paraId="0F23B4A7" w14:textId="2C3E248F" w:rsidR="005C0476" w:rsidRDefault="000F4F3F" w:rsidP="000F4F3F">
      <w:pPr>
        <w:jc w:val="both"/>
        <w:rPr>
          <w:rFonts w:cs="v4.2.0"/>
          <w:b/>
          <w:bCs/>
          <w:i/>
          <w:iCs/>
        </w:rPr>
      </w:pPr>
      <w:r w:rsidRPr="000F4F3F">
        <w:rPr>
          <w:rFonts w:cs="v4.2.0"/>
          <w:b/>
          <w:bCs/>
          <w:i/>
          <w:iCs/>
        </w:rPr>
        <w:t>Proposal 1:</w:t>
      </w:r>
      <w:r w:rsidRPr="000F4F3F">
        <w:rPr>
          <w:b/>
          <w:bCs/>
          <w:i/>
          <w:iCs/>
        </w:rPr>
        <w:t xml:space="preserve"> The UE is allowed to transmit CG-SDT provided that the UE meets the e</w:t>
      </w:r>
      <w:r w:rsidR="008A0A18" w:rsidRPr="000F4F3F">
        <w:rPr>
          <w:b/>
          <w:bCs/>
          <w:i/>
          <w:iCs/>
        </w:rPr>
        <w:t>xisting sync requirements towards the serving cell</w:t>
      </w:r>
      <w:r w:rsidRPr="000F4F3F">
        <w:rPr>
          <w:b/>
          <w:bCs/>
          <w:i/>
          <w:iCs/>
        </w:rPr>
        <w:t xml:space="preserve"> prior to transmission, and if</w:t>
      </w:r>
      <w:r w:rsidRPr="000F4F3F">
        <w:rPr>
          <w:rFonts w:cs="v4.2.0"/>
          <w:b/>
          <w:bCs/>
          <w:i/>
          <w:iCs/>
        </w:rPr>
        <w:t xml:space="preserve"> no SSB is available at the UE during the last 160 </w:t>
      </w:r>
      <w:proofErr w:type="spellStart"/>
      <w:r w:rsidRPr="000F4F3F">
        <w:rPr>
          <w:rFonts w:cs="v4.2.0"/>
          <w:b/>
          <w:bCs/>
          <w:i/>
          <w:iCs/>
        </w:rPr>
        <w:t>ms</w:t>
      </w:r>
      <w:proofErr w:type="spellEnd"/>
      <w:r w:rsidRPr="000F4F3F">
        <w:rPr>
          <w:rFonts w:cs="v4.2.0"/>
          <w:b/>
          <w:bCs/>
          <w:i/>
          <w:iCs/>
        </w:rPr>
        <w:t xml:space="preserve"> then the UE shall drop the CG-SDT transmission.</w:t>
      </w:r>
    </w:p>
    <w:p w14:paraId="4D9CF187" w14:textId="77777777" w:rsidR="000F4F3F" w:rsidRDefault="000F4F3F" w:rsidP="000F4F3F">
      <w:pPr>
        <w:spacing w:after="120"/>
        <w:jc w:val="both"/>
        <w:rPr>
          <w:rFonts w:eastAsia="SimSun"/>
          <w:b/>
          <w:bCs/>
          <w:i/>
          <w:iCs/>
        </w:rPr>
      </w:pPr>
    </w:p>
    <w:p w14:paraId="0210D6D0" w14:textId="14F9C8E7" w:rsidR="000F4F3F" w:rsidRPr="00A803E9" w:rsidRDefault="000F4F3F" w:rsidP="000F4F3F">
      <w:pPr>
        <w:spacing w:after="120"/>
        <w:jc w:val="both"/>
        <w:rPr>
          <w:rFonts w:eastAsia="SimSun"/>
          <w:b/>
          <w:bCs/>
          <w:i/>
          <w:iCs/>
        </w:rPr>
      </w:pPr>
      <w:r w:rsidRPr="00A803E9">
        <w:rPr>
          <w:rFonts w:eastAsia="SimSun"/>
          <w:b/>
          <w:bCs/>
          <w:i/>
          <w:iCs/>
        </w:rPr>
        <w:t xml:space="preserve">Proposal 2: The RSRP1 and RSRP2 measurement windows for </w:t>
      </w:r>
      <w:r w:rsidRPr="00A803E9">
        <w:rPr>
          <w:b/>
          <w:bCs/>
          <w:i/>
          <w:iCs/>
        </w:rPr>
        <w:t xml:space="preserve">RSRP-Change-Criteria based </w:t>
      </w:r>
      <w:r w:rsidRPr="00A803E9">
        <w:rPr>
          <w:rFonts w:eastAsia="SimSun"/>
          <w:b/>
          <w:bCs/>
          <w:i/>
          <w:iCs/>
        </w:rPr>
        <w:t>TA validation are defined as followings:</w:t>
      </w:r>
    </w:p>
    <w:p w14:paraId="5B0DA5F4" w14:textId="77777777" w:rsidR="000F4F3F" w:rsidRPr="00A803E9" w:rsidRDefault="000F4F3F" w:rsidP="000F4F3F">
      <w:pPr>
        <w:spacing w:after="120"/>
        <w:jc w:val="both"/>
        <w:rPr>
          <w:rFonts w:eastAsia="SimSun"/>
          <w:b/>
          <w:bCs/>
          <w:i/>
          <w:iCs/>
        </w:rPr>
      </w:pPr>
      <w:r w:rsidRPr="00A803E9">
        <w:rPr>
          <w:rFonts w:eastAsia="SimSun"/>
          <w:b/>
          <w:bCs/>
          <w:i/>
          <w:iCs/>
        </w:rPr>
        <w:t>The window for RSRP1 measurement:</w:t>
      </w:r>
    </w:p>
    <w:p w14:paraId="35A46AEB" w14:textId="77777777" w:rsidR="000F4F3F" w:rsidRPr="00A803E9" w:rsidRDefault="000F4F3F" w:rsidP="000F4F3F">
      <w:pPr>
        <w:spacing w:after="120"/>
        <w:ind w:left="284"/>
        <w:jc w:val="both"/>
        <w:rPr>
          <w:rFonts w:eastAsia="SimSun"/>
          <w:b/>
          <w:bCs/>
          <w:i/>
          <w:iCs/>
        </w:rPr>
      </w:pPr>
      <w:r w:rsidRPr="00A803E9">
        <w:rPr>
          <w:rFonts w:eastAsia="SimSun"/>
          <w:b/>
          <w:bCs/>
          <w:i/>
          <w:iCs/>
        </w:rPr>
        <w:t xml:space="preserve">(T1 – </w:t>
      </w:r>
      <w:proofErr w:type="gramStart"/>
      <w:r w:rsidRPr="00A803E9">
        <w:rPr>
          <w:rFonts w:eastAsia="SimSun"/>
          <w:b/>
          <w:bCs/>
          <w:i/>
          <w:iCs/>
        </w:rPr>
        <w:t>min(</w:t>
      </w:r>
      <w:proofErr w:type="gramEnd"/>
      <w:r w:rsidRPr="00A803E9">
        <w:rPr>
          <w:rFonts w:eastAsia="SimSun"/>
          <w:b/>
          <w:bCs/>
          <w:i/>
          <w:iCs/>
        </w:rPr>
        <w:t>NR-measurement-period, M×DRX cycle)) ≤ T1’ ≤(T1 + min(NR-measurement-period, M×DRX cycle))</w:t>
      </w:r>
    </w:p>
    <w:p w14:paraId="7FA68BB7" w14:textId="77777777" w:rsidR="000F4F3F" w:rsidRPr="00A803E9" w:rsidRDefault="000F4F3F" w:rsidP="000F4F3F">
      <w:pPr>
        <w:spacing w:after="120"/>
        <w:jc w:val="both"/>
        <w:rPr>
          <w:rFonts w:eastAsia="SimSun"/>
          <w:b/>
          <w:bCs/>
          <w:i/>
          <w:iCs/>
        </w:rPr>
      </w:pPr>
      <w:r w:rsidRPr="00A803E9">
        <w:rPr>
          <w:rFonts w:eastAsia="SimSun"/>
          <w:b/>
          <w:bCs/>
          <w:i/>
          <w:iCs/>
        </w:rPr>
        <w:t>The window for RSRP2 measurement:</w:t>
      </w:r>
    </w:p>
    <w:p w14:paraId="334ADD39" w14:textId="77777777" w:rsidR="000F4F3F" w:rsidRPr="00A803E9" w:rsidRDefault="000F4F3F" w:rsidP="000F4F3F">
      <w:pPr>
        <w:spacing w:after="120"/>
        <w:ind w:left="284"/>
        <w:jc w:val="both"/>
        <w:rPr>
          <w:rFonts w:eastAsia="SimSun"/>
          <w:b/>
          <w:bCs/>
          <w:i/>
          <w:iCs/>
        </w:rPr>
      </w:pPr>
      <w:r w:rsidRPr="00A803E9">
        <w:rPr>
          <w:rFonts w:eastAsia="SimSun"/>
          <w:b/>
          <w:bCs/>
          <w:i/>
          <w:iCs/>
        </w:rPr>
        <w:t xml:space="preserve">T2 – </w:t>
      </w:r>
      <w:proofErr w:type="gramStart"/>
      <w:r w:rsidRPr="00A803E9">
        <w:rPr>
          <w:rFonts w:eastAsia="SimSun"/>
          <w:b/>
          <w:bCs/>
          <w:i/>
          <w:iCs/>
        </w:rPr>
        <w:t>min(</w:t>
      </w:r>
      <w:proofErr w:type="gramEnd"/>
      <w:r w:rsidRPr="00A803E9">
        <w:rPr>
          <w:rFonts w:eastAsia="SimSun"/>
          <w:b/>
          <w:bCs/>
          <w:i/>
          <w:iCs/>
        </w:rPr>
        <w:t>NR-measurement-period, M×DRX cycle) ≤ T2’ ≤ T2</w:t>
      </w:r>
    </w:p>
    <w:p w14:paraId="5A15A35B" w14:textId="77777777" w:rsidR="000F4F3F" w:rsidRPr="00A803E9" w:rsidRDefault="000F4F3F" w:rsidP="000F4F3F">
      <w:pPr>
        <w:spacing w:after="120"/>
        <w:jc w:val="both"/>
        <w:rPr>
          <w:rFonts w:eastAsia="SimSun"/>
          <w:b/>
          <w:bCs/>
          <w:i/>
          <w:iCs/>
        </w:rPr>
      </w:pPr>
      <w:proofErr w:type="gramStart"/>
      <w:r w:rsidRPr="00A803E9">
        <w:rPr>
          <w:rFonts w:eastAsia="SimSun"/>
          <w:b/>
          <w:bCs/>
          <w:i/>
          <w:iCs/>
        </w:rPr>
        <w:lastRenderedPageBreak/>
        <w:t>Where</w:t>
      </w:r>
      <w:proofErr w:type="gramEnd"/>
      <w:r w:rsidRPr="00A803E9">
        <w:rPr>
          <w:rFonts w:eastAsia="SimSun"/>
          <w:b/>
          <w:bCs/>
          <w:i/>
          <w:iCs/>
        </w:rPr>
        <w:t>,</w:t>
      </w:r>
    </w:p>
    <w:p w14:paraId="0B28B720" w14:textId="77777777" w:rsidR="000F4F3F" w:rsidRPr="00A803E9" w:rsidRDefault="000F4F3F" w:rsidP="000F4F3F">
      <w:pPr>
        <w:pStyle w:val="ListParagraph"/>
        <w:numPr>
          <w:ilvl w:val="0"/>
          <w:numId w:val="36"/>
        </w:numPr>
        <w:snapToGrid w:val="0"/>
        <w:spacing w:after="120" w:line="240" w:lineRule="auto"/>
        <w:ind w:left="706" w:firstLineChars="0" w:hanging="418"/>
        <w:jc w:val="both"/>
        <w:rPr>
          <w:b/>
          <w:bCs/>
          <w:i/>
          <w:iCs/>
          <w:sz w:val="24"/>
          <w:szCs w:val="24"/>
        </w:rPr>
      </w:pPr>
      <w:r w:rsidRPr="00A803E9">
        <w:rPr>
          <w:b/>
          <w:bCs/>
          <w:i/>
          <w:iCs/>
          <w:sz w:val="24"/>
          <w:szCs w:val="24"/>
        </w:rPr>
        <w:t>T1 is the time when the latest N</w:t>
      </w:r>
      <w:r w:rsidRPr="00A803E9">
        <w:rPr>
          <w:b/>
          <w:bCs/>
          <w:i/>
          <w:iCs/>
          <w:sz w:val="24"/>
          <w:szCs w:val="24"/>
          <w:vertAlign w:val="subscript"/>
        </w:rPr>
        <w:t>TA</w:t>
      </w:r>
      <w:r w:rsidRPr="00A803E9">
        <w:rPr>
          <w:b/>
          <w:bCs/>
          <w:i/>
          <w:iCs/>
          <w:sz w:val="24"/>
          <w:szCs w:val="24"/>
        </w:rPr>
        <w:t xml:space="preserve"> was obtained by the UE via Timing Advance Command MAC control element or PDCCH for transmission on CG-SDT,</w:t>
      </w:r>
    </w:p>
    <w:p w14:paraId="3405EAAB" w14:textId="77777777" w:rsidR="000F4F3F" w:rsidRPr="00A803E9" w:rsidRDefault="000F4F3F" w:rsidP="000F4F3F">
      <w:pPr>
        <w:pStyle w:val="ListParagraph"/>
        <w:numPr>
          <w:ilvl w:val="0"/>
          <w:numId w:val="36"/>
        </w:numPr>
        <w:snapToGrid w:val="0"/>
        <w:spacing w:after="120" w:line="240" w:lineRule="auto"/>
        <w:ind w:left="706" w:firstLineChars="0" w:hanging="418"/>
        <w:jc w:val="both"/>
        <w:rPr>
          <w:b/>
          <w:bCs/>
          <w:i/>
          <w:iCs/>
          <w:sz w:val="24"/>
          <w:szCs w:val="24"/>
        </w:rPr>
      </w:pPr>
      <w:r w:rsidRPr="00A803E9">
        <w:rPr>
          <w:b/>
          <w:bCs/>
          <w:i/>
          <w:iCs/>
          <w:sz w:val="24"/>
          <w:szCs w:val="24"/>
        </w:rPr>
        <w:t>T1’ is the time when the UE has completed SSB-RSRP1,</w:t>
      </w:r>
    </w:p>
    <w:p w14:paraId="620863C2" w14:textId="77777777" w:rsidR="000F4F3F" w:rsidRPr="00A803E9" w:rsidRDefault="000F4F3F" w:rsidP="000F4F3F">
      <w:pPr>
        <w:pStyle w:val="ListParagraph"/>
        <w:numPr>
          <w:ilvl w:val="0"/>
          <w:numId w:val="36"/>
        </w:numPr>
        <w:snapToGrid w:val="0"/>
        <w:spacing w:after="120" w:line="240" w:lineRule="auto"/>
        <w:ind w:left="706" w:firstLineChars="0" w:hanging="418"/>
        <w:jc w:val="both"/>
        <w:rPr>
          <w:b/>
          <w:bCs/>
          <w:i/>
          <w:iCs/>
          <w:sz w:val="24"/>
          <w:szCs w:val="24"/>
        </w:rPr>
      </w:pPr>
      <w:r w:rsidRPr="00A803E9">
        <w:rPr>
          <w:b/>
          <w:bCs/>
          <w:i/>
          <w:iCs/>
          <w:sz w:val="24"/>
          <w:szCs w:val="24"/>
        </w:rPr>
        <w:t>T2 is the time when the UE performs TA validation for transmission using CG-SDT,</w:t>
      </w:r>
    </w:p>
    <w:p w14:paraId="76E7E7CF" w14:textId="77777777" w:rsidR="000F4F3F" w:rsidRPr="00A803E9" w:rsidRDefault="000F4F3F" w:rsidP="000F4F3F">
      <w:pPr>
        <w:pStyle w:val="ListParagraph"/>
        <w:numPr>
          <w:ilvl w:val="0"/>
          <w:numId w:val="36"/>
        </w:numPr>
        <w:snapToGrid w:val="0"/>
        <w:spacing w:after="120" w:line="240" w:lineRule="auto"/>
        <w:ind w:left="706" w:firstLineChars="0" w:hanging="418"/>
        <w:jc w:val="both"/>
        <w:rPr>
          <w:b/>
          <w:bCs/>
          <w:i/>
          <w:iCs/>
          <w:sz w:val="24"/>
          <w:szCs w:val="24"/>
        </w:rPr>
      </w:pPr>
      <w:r w:rsidRPr="00A803E9">
        <w:rPr>
          <w:b/>
          <w:bCs/>
          <w:i/>
          <w:iCs/>
          <w:sz w:val="24"/>
          <w:szCs w:val="24"/>
        </w:rPr>
        <w:t>T2’ is the time when the UE has completed SSB-RSRP2.</w:t>
      </w:r>
    </w:p>
    <w:p w14:paraId="26F49B03" w14:textId="77777777" w:rsidR="00A803E9" w:rsidRPr="00A803E9" w:rsidRDefault="000F4F3F" w:rsidP="000F4F3F">
      <w:pPr>
        <w:pStyle w:val="ListParagraph"/>
        <w:numPr>
          <w:ilvl w:val="0"/>
          <w:numId w:val="36"/>
        </w:numPr>
        <w:snapToGrid w:val="0"/>
        <w:spacing w:after="120" w:line="240" w:lineRule="auto"/>
        <w:ind w:left="706" w:firstLineChars="0" w:hanging="418"/>
        <w:jc w:val="both"/>
        <w:rPr>
          <w:b/>
          <w:bCs/>
          <w:i/>
          <w:iCs/>
          <w:sz w:val="24"/>
          <w:szCs w:val="24"/>
        </w:rPr>
      </w:pPr>
      <w:r w:rsidRPr="00A803E9">
        <w:rPr>
          <w:b/>
          <w:bCs/>
          <w:i/>
          <w:iCs/>
          <w:sz w:val="24"/>
          <w:szCs w:val="24"/>
        </w:rPr>
        <w:t xml:space="preserve">NR-measurement-period is equivalent to gapless intra-frequency measurement period without </w:t>
      </w:r>
      <w:proofErr w:type="spellStart"/>
      <w:r w:rsidRPr="00A803E9">
        <w:rPr>
          <w:b/>
          <w:bCs/>
          <w:i/>
          <w:iCs/>
          <w:sz w:val="24"/>
          <w:szCs w:val="24"/>
        </w:rPr>
        <w:t>K</w:t>
      </w:r>
      <w:r w:rsidRPr="00A803E9">
        <w:rPr>
          <w:b/>
          <w:bCs/>
          <w:i/>
          <w:iCs/>
          <w:sz w:val="24"/>
          <w:szCs w:val="24"/>
          <w:vertAlign w:val="subscript"/>
        </w:rPr>
        <w:t>p</w:t>
      </w:r>
      <w:proofErr w:type="spellEnd"/>
      <w:r w:rsidRPr="00A803E9">
        <w:rPr>
          <w:b/>
          <w:bCs/>
          <w:i/>
          <w:iCs/>
          <w:sz w:val="24"/>
          <w:szCs w:val="24"/>
        </w:rPr>
        <w:t>, K</w:t>
      </w:r>
      <w:r w:rsidRPr="00A803E9">
        <w:rPr>
          <w:b/>
          <w:bCs/>
          <w:i/>
          <w:iCs/>
          <w:sz w:val="24"/>
          <w:szCs w:val="24"/>
          <w:vertAlign w:val="subscript"/>
        </w:rPr>
        <w:t xml:space="preserve">layer1_measurement </w:t>
      </w:r>
      <w:r w:rsidRPr="00A803E9">
        <w:rPr>
          <w:b/>
          <w:bCs/>
          <w:i/>
          <w:iCs/>
          <w:sz w:val="24"/>
          <w:szCs w:val="24"/>
        </w:rPr>
        <w:t>and DRX in connected mode (section 9.2.5.2 TS38.133).</w:t>
      </w:r>
    </w:p>
    <w:p w14:paraId="670D4801" w14:textId="24508C43" w:rsidR="000F4F3F" w:rsidRPr="00A803E9" w:rsidRDefault="000F4F3F" w:rsidP="000F4F3F">
      <w:pPr>
        <w:pStyle w:val="ListParagraph"/>
        <w:numPr>
          <w:ilvl w:val="0"/>
          <w:numId w:val="36"/>
        </w:numPr>
        <w:snapToGrid w:val="0"/>
        <w:spacing w:after="120" w:line="240" w:lineRule="auto"/>
        <w:ind w:left="706" w:firstLineChars="0" w:hanging="418"/>
        <w:jc w:val="both"/>
        <w:rPr>
          <w:b/>
          <w:bCs/>
          <w:i/>
          <w:iCs/>
          <w:sz w:val="24"/>
          <w:szCs w:val="24"/>
        </w:rPr>
      </w:pPr>
      <w:r w:rsidRPr="00A803E9">
        <w:rPr>
          <w:b/>
          <w:bCs/>
          <w:i/>
          <w:iCs/>
          <w:sz w:val="24"/>
          <w:szCs w:val="24"/>
        </w:rPr>
        <w:t>M is the beam sweeping factor for FR2 as defined in table 4.2.2.2-1</w:t>
      </w:r>
      <w:r w:rsidR="00105157">
        <w:rPr>
          <w:b/>
          <w:bCs/>
          <w:i/>
          <w:iCs/>
          <w:sz w:val="24"/>
          <w:szCs w:val="24"/>
          <w:lang w:val="en-US"/>
        </w:rPr>
        <w:t xml:space="preserve"> </w:t>
      </w:r>
      <w:r w:rsidRPr="00A803E9">
        <w:rPr>
          <w:b/>
          <w:bCs/>
          <w:i/>
          <w:iCs/>
          <w:sz w:val="24"/>
          <w:szCs w:val="24"/>
        </w:rPr>
        <w:t>(serving cell measurement period table), and 1 for FR1.</w:t>
      </w:r>
    </w:p>
    <w:p w14:paraId="5C7A5EFF" w14:textId="748C7246" w:rsidR="005C0476" w:rsidRDefault="005C0476" w:rsidP="005C0476">
      <w:pPr>
        <w:jc w:val="both"/>
        <w:rPr>
          <w:b/>
          <w:bCs/>
          <w:i/>
          <w:iCs/>
        </w:rPr>
      </w:pPr>
    </w:p>
    <w:p w14:paraId="23373D11" w14:textId="2FBC9616" w:rsidR="005C0476" w:rsidRPr="000F4F3F" w:rsidRDefault="000F4F3F" w:rsidP="000F4F3F">
      <w:pPr>
        <w:spacing w:after="120"/>
        <w:jc w:val="both"/>
        <w:rPr>
          <w:rFonts w:eastAsia="SimSun"/>
          <w:b/>
          <w:bCs/>
          <w:i/>
          <w:iCs/>
        </w:rPr>
      </w:pPr>
      <w:r w:rsidRPr="000F4F3F">
        <w:rPr>
          <w:rFonts w:eastAsia="SimSun"/>
          <w:b/>
          <w:bCs/>
          <w:i/>
          <w:iCs/>
        </w:rPr>
        <w:t xml:space="preserve">Proposal 3: Rel-17 RRM requirements for CG-SDT in FR2 only apply to the UEs capable of beam correspondence. </w:t>
      </w:r>
    </w:p>
    <w:p w14:paraId="72E53931" w14:textId="0FED7C77" w:rsidR="00712CC1" w:rsidRDefault="00712CC1" w:rsidP="00712CC1">
      <w:pPr>
        <w:pStyle w:val="Heading1"/>
        <w:pBdr>
          <w:top w:val="single" w:sz="12" w:space="2" w:color="auto"/>
        </w:pBdr>
        <w:jc w:val="both"/>
        <w:rPr>
          <w:sz w:val="32"/>
        </w:rPr>
      </w:pPr>
      <w:r w:rsidRPr="00B7162C">
        <w:rPr>
          <w:rFonts w:hint="eastAsia"/>
          <w:sz w:val="32"/>
        </w:rPr>
        <w:t>References</w:t>
      </w:r>
    </w:p>
    <w:p w14:paraId="26B50E7D" w14:textId="52F7CBD9" w:rsidR="004D4ED2" w:rsidRPr="005A1E0E" w:rsidRDefault="009D56DB" w:rsidP="005A1E0E">
      <w:r>
        <w:t xml:space="preserve">[1] </w:t>
      </w:r>
      <w:r w:rsidR="00423936" w:rsidRPr="00423936">
        <w:rPr>
          <w:rFonts w:eastAsiaTheme="minorEastAsia"/>
          <w:bCs/>
          <w:color w:val="000000" w:themeColor="text1"/>
        </w:rPr>
        <w:t>R4-2120338</w:t>
      </w:r>
      <w:r w:rsidR="00AD1FE5">
        <w:t xml:space="preserve">, </w:t>
      </w:r>
      <w:r w:rsidR="00423936" w:rsidRPr="00423936">
        <w:t>WF on RRM requirements for NR SDT in INACTIVE state</w:t>
      </w:r>
      <w:r w:rsidR="00A56205">
        <w:t xml:space="preserve">, </w:t>
      </w:r>
      <w:r w:rsidR="00423936">
        <w:t>ZTE</w:t>
      </w:r>
      <w:r w:rsidR="00A56205">
        <w:t>, RAN</w:t>
      </w:r>
      <w:r w:rsidR="00FD7948">
        <w:t>4 #</w:t>
      </w:r>
      <w:r w:rsidR="002F499E">
        <w:t>10</w:t>
      </w:r>
      <w:r w:rsidR="00EE5D62">
        <w:t>1</w:t>
      </w:r>
      <w:r w:rsidR="00646CD3">
        <w:t>-</w:t>
      </w:r>
      <w:r w:rsidR="00FD7948">
        <w:t>e meeting</w:t>
      </w:r>
    </w:p>
    <w:sectPr w:rsidR="004D4ED2" w:rsidRPr="005A1E0E" w:rsidSect="0069017A">
      <w:headerReference w:type="even" r:id="rId11"/>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E08E2" w14:textId="77777777" w:rsidR="000C3954" w:rsidRDefault="000C3954">
      <w:r>
        <w:separator/>
      </w:r>
    </w:p>
  </w:endnote>
  <w:endnote w:type="continuationSeparator" w:id="0">
    <w:p w14:paraId="1AF71D04" w14:textId="77777777" w:rsidR="000C3954" w:rsidRDefault="000C3954">
      <w:r>
        <w:continuationSeparator/>
      </w:r>
    </w:p>
  </w:endnote>
  <w:endnote w:type="continuationNotice" w:id="1">
    <w:p w14:paraId="29DE0490" w14:textId="77777777" w:rsidR="000C3954" w:rsidRDefault="000C39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A07E0" w14:textId="77777777" w:rsidR="000C3954" w:rsidRDefault="000C3954">
      <w:r>
        <w:separator/>
      </w:r>
    </w:p>
  </w:footnote>
  <w:footnote w:type="continuationSeparator" w:id="0">
    <w:p w14:paraId="390153AD" w14:textId="77777777" w:rsidR="000C3954" w:rsidRDefault="000C3954">
      <w:r>
        <w:continuationSeparator/>
      </w:r>
    </w:p>
  </w:footnote>
  <w:footnote w:type="continuationNotice" w:id="1">
    <w:p w14:paraId="63EF3F3A" w14:textId="77777777" w:rsidR="000C3954" w:rsidRDefault="000C39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09791AF0"/>
    <w:multiLevelType w:val="hybridMultilevel"/>
    <w:tmpl w:val="20363C7C"/>
    <w:lvl w:ilvl="0" w:tplc="EEC46410">
      <w:start w:val="1"/>
      <w:numFmt w:val="bullet"/>
      <w:lvlText w:val="•"/>
      <w:lvlJc w:val="left"/>
      <w:pPr>
        <w:tabs>
          <w:tab w:val="num" w:pos="720"/>
        </w:tabs>
        <w:ind w:left="720" w:hanging="360"/>
      </w:pPr>
      <w:rPr>
        <w:rFonts w:ascii="Arial" w:hAnsi="Arial" w:hint="default"/>
      </w:rPr>
    </w:lvl>
    <w:lvl w:ilvl="1" w:tplc="4C40C97C">
      <w:start w:val="1"/>
      <w:numFmt w:val="bullet"/>
      <w:lvlText w:val="•"/>
      <w:lvlJc w:val="left"/>
      <w:pPr>
        <w:tabs>
          <w:tab w:val="num" w:pos="1440"/>
        </w:tabs>
        <w:ind w:left="1440" w:hanging="360"/>
      </w:pPr>
      <w:rPr>
        <w:rFonts w:ascii="Arial" w:hAnsi="Arial" w:hint="default"/>
      </w:rPr>
    </w:lvl>
    <w:lvl w:ilvl="2" w:tplc="2942544C" w:tentative="1">
      <w:start w:val="1"/>
      <w:numFmt w:val="bullet"/>
      <w:lvlText w:val="•"/>
      <w:lvlJc w:val="left"/>
      <w:pPr>
        <w:tabs>
          <w:tab w:val="num" w:pos="2160"/>
        </w:tabs>
        <w:ind w:left="2160" w:hanging="360"/>
      </w:pPr>
      <w:rPr>
        <w:rFonts w:ascii="Arial" w:hAnsi="Arial" w:hint="default"/>
      </w:rPr>
    </w:lvl>
    <w:lvl w:ilvl="3" w:tplc="69E63B86" w:tentative="1">
      <w:start w:val="1"/>
      <w:numFmt w:val="bullet"/>
      <w:lvlText w:val="•"/>
      <w:lvlJc w:val="left"/>
      <w:pPr>
        <w:tabs>
          <w:tab w:val="num" w:pos="2880"/>
        </w:tabs>
        <w:ind w:left="2880" w:hanging="360"/>
      </w:pPr>
      <w:rPr>
        <w:rFonts w:ascii="Arial" w:hAnsi="Arial" w:hint="default"/>
      </w:rPr>
    </w:lvl>
    <w:lvl w:ilvl="4" w:tplc="0DFA6A6C" w:tentative="1">
      <w:start w:val="1"/>
      <w:numFmt w:val="bullet"/>
      <w:lvlText w:val="•"/>
      <w:lvlJc w:val="left"/>
      <w:pPr>
        <w:tabs>
          <w:tab w:val="num" w:pos="3600"/>
        </w:tabs>
        <w:ind w:left="3600" w:hanging="360"/>
      </w:pPr>
      <w:rPr>
        <w:rFonts w:ascii="Arial" w:hAnsi="Arial" w:hint="default"/>
      </w:rPr>
    </w:lvl>
    <w:lvl w:ilvl="5" w:tplc="30FCAF48" w:tentative="1">
      <w:start w:val="1"/>
      <w:numFmt w:val="bullet"/>
      <w:lvlText w:val="•"/>
      <w:lvlJc w:val="left"/>
      <w:pPr>
        <w:tabs>
          <w:tab w:val="num" w:pos="4320"/>
        </w:tabs>
        <w:ind w:left="4320" w:hanging="360"/>
      </w:pPr>
      <w:rPr>
        <w:rFonts w:ascii="Arial" w:hAnsi="Arial" w:hint="default"/>
      </w:rPr>
    </w:lvl>
    <w:lvl w:ilvl="6" w:tplc="F9F00C4A" w:tentative="1">
      <w:start w:val="1"/>
      <w:numFmt w:val="bullet"/>
      <w:lvlText w:val="•"/>
      <w:lvlJc w:val="left"/>
      <w:pPr>
        <w:tabs>
          <w:tab w:val="num" w:pos="5040"/>
        </w:tabs>
        <w:ind w:left="5040" w:hanging="360"/>
      </w:pPr>
      <w:rPr>
        <w:rFonts w:ascii="Arial" w:hAnsi="Arial" w:hint="default"/>
      </w:rPr>
    </w:lvl>
    <w:lvl w:ilvl="7" w:tplc="CD2EE9B4" w:tentative="1">
      <w:start w:val="1"/>
      <w:numFmt w:val="bullet"/>
      <w:lvlText w:val="•"/>
      <w:lvlJc w:val="left"/>
      <w:pPr>
        <w:tabs>
          <w:tab w:val="num" w:pos="5760"/>
        </w:tabs>
        <w:ind w:left="5760" w:hanging="360"/>
      </w:pPr>
      <w:rPr>
        <w:rFonts w:ascii="Arial" w:hAnsi="Arial" w:hint="default"/>
      </w:rPr>
    </w:lvl>
    <w:lvl w:ilvl="8" w:tplc="52A2AB4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3"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18D27292"/>
    <w:multiLevelType w:val="hybridMultilevel"/>
    <w:tmpl w:val="11F649D6"/>
    <w:lvl w:ilvl="0" w:tplc="018A8ACE">
      <w:start w:val="1"/>
      <w:numFmt w:val="bullet"/>
      <w:lvlText w:val="•"/>
      <w:lvlJc w:val="left"/>
      <w:pPr>
        <w:tabs>
          <w:tab w:val="num" w:pos="720"/>
        </w:tabs>
        <w:ind w:left="720" w:hanging="360"/>
      </w:pPr>
      <w:rPr>
        <w:rFonts w:ascii="Arial" w:hAnsi="Arial" w:hint="default"/>
      </w:rPr>
    </w:lvl>
    <w:lvl w:ilvl="1" w:tplc="700ACFA0">
      <w:start w:val="1"/>
      <w:numFmt w:val="bullet"/>
      <w:lvlText w:val="•"/>
      <w:lvlJc w:val="left"/>
      <w:pPr>
        <w:tabs>
          <w:tab w:val="num" w:pos="1440"/>
        </w:tabs>
        <w:ind w:left="1440" w:hanging="360"/>
      </w:pPr>
      <w:rPr>
        <w:rFonts w:ascii="Arial" w:hAnsi="Arial" w:hint="default"/>
      </w:rPr>
    </w:lvl>
    <w:lvl w:ilvl="2" w:tplc="CAD86AE6" w:tentative="1">
      <w:start w:val="1"/>
      <w:numFmt w:val="bullet"/>
      <w:lvlText w:val="•"/>
      <w:lvlJc w:val="left"/>
      <w:pPr>
        <w:tabs>
          <w:tab w:val="num" w:pos="2160"/>
        </w:tabs>
        <w:ind w:left="2160" w:hanging="360"/>
      </w:pPr>
      <w:rPr>
        <w:rFonts w:ascii="Arial" w:hAnsi="Arial" w:hint="default"/>
      </w:rPr>
    </w:lvl>
    <w:lvl w:ilvl="3" w:tplc="5F3A9800" w:tentative="1">
      <w:start w:val="1"/>
      <w:numFmt w:val="bullet"/>
      <w:lvlText w:val="•"/>
      <w:lvlJc w:val="left"/>
      <w:pPr>
        <w:tabs>
          <w:tab w:val="num" w:pos="2880"/>
        </w:tabs>
        <w:ind w:left="2880" w:hanging="360"/>
      </w:pPr>
      <w:rPr>
        <w:rFonts w:ascii="Arial" w:hAnsi="Arial" w:hint="default"/>
      </w:rPr>
    </w:lvl>
    <w:lvl w:ilvl="4" w:tplc="CDB673AE" w:tentative="1">
      <w:start w:val="1"/>
      <w:numFmt w:val="bullet"/>
      <w:lvlText w:val="•"/>
      <w:lvlJc w:val="left"/>
      <w:pPr>
        <w:tabs>
          <w:tab w:val="num" w:pos="3600"/>
        </w:tabs>
        <w:ind w:left="3600" w:hanging="360"/>
      </w:pPr>
      <w:rPr>
        <w:rFonts w:ascii="Arial" w:hAnsi="Arial" w:hint="default"/>
      </w:rPr>
    </w:lvl>
    <w:lvl w:ilvl="5" w:tplc="5FE41E58" w:tentative="1">
      <w:start w:val="1"/>
      <w:numFmt w:val="bullet"/>
      <w:lvlText w:val="•"/>
      <w:lvlJc w:val="left"/>
      <w:pPr>
        <w:tabs>
          <w:tab w:val="num" w:pos="4320"/>
        </w:tabs>
        <w:ind w:left="4320" w:hanging="360"/>
      </w:pPr>
      <w:rPr>
        <w:rFonts w:ascii="Arial" w:hAnsi="Arial" w:hint="default"/>
      </w:rPr>
    </w:lvl>
    <w:lvl w:ilvl="6" w:tplc="9D6CB2AC" w:tentative="1">
      <w:start w:val="1"/>
      <w:numFmt w:val="bullet"/>
      <w:lvlText w:val="•"/>
      <w:lvlJc w:val="left"/>
      <w:pPr>
        <w:tabs>
          <w:tab w:val="num" w:pos="5040"/>
        </w:tabs>
        <w:ind w:left="5040" w:hanging="360"/>
      </w:pPr>
      <w:rPr>
        <w:rFonts w:ascii="Arial" w:hAnsi="Arial" w:hint="default"/>
      </w:rPr>
    </w:lvl>
    <w:lvl w:ilvl="7" w:tplc="E2E868C2" w:tentative="1">
      <w:start w:val="1"/>
      <w:numFmt w:val="bullet"/>
      <w:lvlText w:val="•"/>
      <w:lvlJc w:val="left"/>
      <w:pPr>
        <w:tabs>
          <w:tab w:val="num" w:pos="5760"/>
        </w:tabs>
        <w:ind w:left="5760" w:hanging="360"/>
      </w:pPr>
      <w:rPr>
        <w:rFonts w:ascii="Arial" w:hAnsi="Arial" w:hint="default"/>
      </w:rPr>
    </w:lvl>
    <w:lvl w:ilvl="8" w:tplc="3B2692C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AF51BC"/>
    <w:multiLevelType w:val="hybridMultilevel"/>
    <w:tmpl w:val="CCDA4A52"/>
    <w:lvl w:ilvl="0" w:tplc="B7D286C0">
      <w:start w:val="1"/>
      <w:numFmt w:val="bullet"/>
      <w:lvlText w:val="•"/>
      <w:lvlJc w:val="left"/>
      <w:pPr>
        <w:tabs>
          <w:tab w:val="num" w:pos="720"/>
        </w:tabs>
        <w:ind w:left="720" w:hanging="360"/>
      </w:pPr>
      <w:rPr>
        <w:rFonts w:ascii="Arial" w:hAnsi="Arial" w:hint="default"/>
      </w:rPr>
    </w:lvl>
    <w:lvl w:ilvl="1" w:tplc="D34A39EC">
      <w:start w:val="1"/>
      <w:numFmt w:val="bullet"/>
      <w:lvlText w:val="•"/>
      <w:lvlJc w:val="left"/>
      <w:pPr>
        <w:tabs>
          <w:tab w:val="num" w:pos="1440"/>
        </w:tabs>
        <w:ind w:left="1440" w:hanging="360"/>
      </w:pPr>
      <w:rPr>
        <w:rFonts w:ascii="Arial" w:hAnsi="Arial" w:hint="default"/>
      </w:rPr>
    </w:lvl>
    <w:lvl w:ilvl="2" w:tplc="647C45F2" w:tentative="1">
      <w:start w:val="1"/>
      <w:numFmt w:val="bullet"/>
      <w:lvlText w:val="•"/>
      <w:lvlJc w:val="left"/>
      <w:pPr>
        <w:tabs>
          <w:tab w:val="num" w:pos="2160"/>
        </w:tabs>
        <w:ind w:left="2160" w:hanging="360"/>
      </w:pPr>
      <w:rPr>
        <w:rFonts w:ascii="Arial" w:hAnsi="Arial" w:hint="default"/>
      </w:rPr>
    </w:lvl>
    <w:lvl w:ilvl="3" w:tplc="E6807030" w:tentative="1">
      <w:start w:val="1"/>
      <w:numFmt w:val="bullet"/>
      <w:lvlText w:val="•"/>
      <w:lvlJc w:val="left"/>
      <w:pPr>
        <w:tabs>
          <w:tab w:val="num" w:pos="2880"/>
        </w:tabs>
        <w:ind w:left="2880" w:hanging="360"/>
      </w:pPr>
      <w:rPr>
        <w:rFonts w:ascii="Arial" w:hAnsi="Arial" w:hint="default"/>
      </w:rPr>
    </w:lvl>
    <w:lvl w:ilvl="4" w:tplc="5B3ED01C" w:tentative="1">
      <w:start w:val="1"/>
      <w:numFmt w:val="bullet"/>
      <w:lvlText w:val="•"/>
      <w:lvlJc w:val="left"/>
      <w:pPr>
        <w:tabs>
          <w:tab w:val="num" w:pos="3600"/>
        </w:tabs>
        <w:ind w:left="3600" w:hanging="360"/>
      </w:pPr>
      <w:rPr>
        <w:rFonts w:ascii="Arial" w:hAnsi="Arial" w:hint="default"/>
      </w:rPr>
    </w:lvl>
    <w:lvl w:ilvl="5" w:tplc="79AC3B5A" w:tentative="1">
      <w:start w:val="1"/>
      <w:numFmt w:val="bullet"/>
      <w:lvlText w:val="•"/>
      <w:lvlJc w:val="left"/>
      <w:pPr>
        <w:tabs>
          <w:tab w:val="num" w:pos="4320"/>
        </w:tabs>
        <w:ind w:left="4320" w:hanging="360"/>
      </w:pPr>
      <w:rPr>
        <w:rFonts w:ascii="Arial" w:hAnsi="Arial" w:hint="default"/>
      </w:rPr>
    </w:lvl>
    <w:lvl w:ilvl="6" w:tplc="71CE88C0" w:tentative="1">
      <w:start w:val="1"/>
      <w:numFmt w:val="bullet"/>
      <w:lvlText w:val="•"/>
      <w:lvlJc w:val="left"/>
      <w:pPr>
        <w:tabs>
          <w:tab w:val="num" w:pos="5040"/>
        </w:tabs>
        <w:ind w:left="5040" w:hanging="360"/>
      </w:pPr>
      <w:rPr>
        <w:rFonts w:ascii="Arial" w:hAnsi="Arial" w:hint="default"/>
      </w:rPr>
    </w:lvl>
    <w:lvl w:ilvl="7" w:tplc="A782B20E" w:tentative="1">
      <w:start w:val="1"/>
      <w:numFmt w:val="bullet"/>
      <w:lvlText w:val="•"/>
      <w:lvlJc w:val="left"/>
      <w:pPr>
        <w:tabs>
          <w:tab w:val="num" w:pos="5760"/>
        </w:tabs>
        <w:ind w:left="5760" w:hanging="360"/>
      </w:pPr>
      <w:rPr>
        <w:rFonts w:ascii="Arial" w:hAnsi="Arial" w:hint="default"/>
      </w:rPr>
    </w:lvl>
    <w:lvl w:ilvl="8" w:tplc="37B462D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D938CE"/>
    <w:multiLevelType w:val="hybridMultilevel"/>
    <w:tmpl w:val="D81C22E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CC72321"/>
    <w:multiLevelType w:val="hybridMultilevel"/>
    <w:tmpl w:val="F9CC98A8"/>
    <w:lvl w:ilvl="0" w:tplc="B4D24D9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F56586"/>
    <w:multiLevelType w:val="hybridMultilevel"/>
    <w:tmpl w:val="03866936"/>
    <w:lvl w:ilvl="0" w:tplc="B06A6C98">
      <w:start w:val="1"/>
      <w:numFmt w:val="bullet"/>
      <w:lvlText w:val="•"/>
      <w:lvlJc w:val="left"/>
      <w:pPr>
        <w:tabs>
          <w:tab w:val="num" w:pos="720"/>
        </w:tabs>
        <w:ind w:left="720" w:hanging="360"/>
      </w:pPr>
      <w:rPr>
        <w:rFonts w:ascii="Arial" w:hAnsi="Arial" w:hint="default"/>
      </w:rPr>
    </w:lvl>
    <w:lvl w:ilvl="1" w:tplc="A4386B70">
      <w:start w:val="1"/>
      <w:numFmt w:val="bullet"/>
      <w:lvlText w:val="•"/>
      <w:lvlJc w:val="left"/>
      <w:pPr>
        <w:tabs>
          <w:tab w:val="num" w:pos="1440"/>
        </w:tabs>
        <w:ind w:left="1440" w:hanging="360"/>
      </w:pPr>
      <w:rPr>
        <w:rFonts w:ascii="Arial" w:hAnsi="Arial" w:hint="default"/>
      </w:rPr>
    </w:lvl>
    <w:lvl w:ilvl="2" w:tplc="0012184C" w:tentative="1">
      <w:start w:val="1"/>
      <w:numFmt w:val="bullet"/>
      <w:lvlText w:val="•"/>
      <w:lvlJc w:val="left"/>
      <w:pPr>
        <w:tabs>
          <w:tab w:val="num" w:pos="2160"/>
        </w:tabs>
        <w:ind w:left="2160" w:hanging="360"/>
      </w:pPr>
      <w:rPr>
        <w:rFonts w:ascii="Arial" w:hAnsi="Arial" w:hint="default"/>
      </w:rPr>
    </w:lvl>
    <w:lvl w:ilvl="3" w:tplc="81868EA4" w:tentative="1">
      <w:start w:val="1"/>
      <w:numFmt w:val="bullet"/>
      <w:lvlText w:val="•"/>
      <w:lvlJc w:val="left"/>
      <w:pPr>
        <w:tabs>
          <w:tab w:val="num" w:pos="2880"/>
        </w:tabs>
        <w:ind w:left="2880" w:hanging="360"/>
      </w:pPr>
      <w:rPr>
        <w:rFonts w:ascii="Arial" w:hAnsi="Arial" w:hint="default"/>
      </w:rPr>
    </w:lvl>
    <w:lvl w:ilvl="4" w:tplc="9A0E8938" w:tentative="1">
      <w:start w:val="1"/>
      <w:numFmt w:val="bullet"/>
      <w:lvlText w:val="•"/>
      <w:lvlJc w:val="left"/>
      <w:pPr>
        <w:tabs>
          <w:tab w:val="num" w:pos="3600"/>
        </w:tabs>
        <w:ind w:left="3600" w:hanging="360"/>
      </w:pPr>
      <w:rPr>
        <w:rFonts w:ascii="Arial" w:hAnsi="Arial" w:hint="default"/>
      </w:rPr>
    </w:lvl>
    <w:lvl w:ilvl="5" w:tplc="AAA87164" w:tentative="1">
      <w:start w:val="1"/>
      <w:numFmt w:val="bullet"/>
      <w:lvlText w:val="•"/>
      <w:lvlJc w:val="left"/>
      <w:pPr>
        <w:tabs>
          <w:tab w:val="num" w:pos="4320"/>
        </w:tabs>
        <w:ind w:left="4320" w:hanging="360"/>
      </w:pPr>
      <w:rPr>
        <w:rFonts w:ascii="Arial" w:hAnsi="Arial" w:hint="default"/>
      </w:rPr>
    </w:lvl>
    <w:lvl w:ilvl="6" w:tplc="95009074" w:tentative="1">
      <w:start w:val="1"/>
      <w:numFmt w:val="bullet"/>
      <w:lvlText w:val="•"/>
      <w:lvlJc w:val="left"/>
      <w:pPr>
        <w:tabs>
          <w:tab w:val="num" w:pos="5040"/>
        </w:tabs>
        <w:ind w:left="5040" w:hanging="360"/>
      </w:pPr>
      <w:rPr>
        <w:rFonts w:ascii="Arial" w:hAnsi="Arial" w:hint="default"/>
      </w:rPr>
    </w:lvl>
    <w:lvl w:ilvl="7" w:tplc="17E2831C" w:tentative="1">
      <w:start w:val="1"/>
      <w:numFmt w:val="bullet"/>
      <w:lvlText w:val="•"/>
      <w:lvlJc w:val="left"/>
      <w:pPr>
        <w:tabs>
          <w:tab w:val="num" w:pos="5760"/>
        </w:tabs>
        <w:ind w:left="5760" w:hanging="360"/>
      </w:pPr>
      <w:rPr>
        <w:rFonts w:ascii="Arial" w:hAnsi="Arial" w:hint="default"/>
      </w:rPr>
    </w:lvl>
    <w:lvl w:ilvl="8" w:tplc="45E4CD1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6017D99"/>
    <w:multiLevelType w:val="hybridMultilevel"/>
    <w:tmpl w:val="598E2DAC"/>
    <w:lvl w:ilvl="0" w:tplc="9A5E6E20">
      <w:start w:val="1"/>
      <w:numFmt w:val="bullet"/>
      <w:lvlText w:val="•"/>
      <w:lvlJc w:val="left"/>
      <w:pPr>
        <w:tabs>
          <w:tab w:val="num" w:pos="720"/>
        </w:tabs>
        <w:ind w:left="720" w:hanging="360"/>
      </w:pPr>
      <w:rPr>
        <w:rFonts w:ascii="Arial" w:hAnsi="Arial" w:hint="default"/>
      </w:rPr>
    </w:lvl>
    <w:lvl w:ilvl="1" w:tplc="444A6034">
      <w:start w:val="1"/>
      <w:numFmt w:val="bullet"/>
      <w:lvlText w:val="•"/>
      <w:lvlJc w:val="left"/>
      <w:pPr>
        <w:tabs>
          <w:tab w:val="num" w:pos="1440"/>
        </w:tabs>
        <w:ind w:left="1440" w:hanging="360"/>
      </w:pPr>
      <w:rPr>
        <w:rFonts w:ascii="Arial" w:hAnsi="Arial" w:hint="default"/>
      </w:rPr>
    </w:lvl>
    <w:lvl w:ilvl="2" w:tplc="0E6454C0" w:tentative="1">
      <w:start w:val="1"/>
      <w:numFmt w:val="bullet"/>
      <w:lvlText w:val="•"/>
      <w:lvlJc w:val="left"/>
      <w:pPr>
        <w:tabs>
          <w:tab w:val="num" w:pos="2160"/>
        </w:tabs>
        <w:ind w:left="2160" w:hanging="360"/>
      </w:pPr>
      <w:rPr>
        <w:rFonts w:ascii="Arial" w:hAnsi="Arial" w:hint="default"/>
      </w:rPr>
    </w:lvl>
    <w:lvl w:ilvl="3" w:tplc="DC0C596A" w:tentative="1">
      <w:start w:val="1"/>
      <w:numFmt w:val="bullet"/>
      <w:lvlText w:val="•"/>
      <w:lvlJc w:val="left"/>
      <w:pPr>
        <w:tabs>
          <w:tab w:val="num" w:pos="2880"/>
        </w:tabs>
        <w:ind w:left="2880" w:hanging="360"/>
      </w:pPr>
      <w:rPr>
        <w:rFonts w:ascii="Arial" w:hAnsi="Arial" w:hint="default"/>
      </w:rPr>
    </w:lvl>
    <w:lvl w:ilvl="4" w:tplc="C2D873D2" w:tentative="1">
      <w:start w:val="1"/>
      <w:numFmt w:val="bullet"/>
      <w:lvlText w:val="•"/>
      <w:lvlJc w:val="left"/>
      <w:pPr>
        <w:tabs>
          <w:tab w:val="num" w:pos="3600"/>
        </w:tabs>
        <w:ind w:left="3600" w:hanging="360"/>
      </w:pPr>
      <w:rPr>
        <w:rFonts w:ascii="Arial" w:hAnsi="Arial" w:hint="default"/>
      </w:rPr>
    </w:lvl>
    <w:lvl w:ilvl="5" w:tplc="AD1A47CE" w:tentative="1">
      <w:start w:val="1"/>
      <w:numFmt w:val="bullet"/>
      <w:lvlText w:val="•"/>
      <w:lvlJc w:val="left"/>
      <w:pPr>
        <w:tabs>
          <w:tab w:val="num" w:pos="4320"/>
        </w:tabs>
        <w:ind w:left="4320" w:hanging="360"/>
      </w:pPr>
      <w:rPr>
        <w:rFonts w:ascii="Arial" w:hAnsi="Arial" w:hint="default"/>
      </w:rPr>
    </w:lvl>
    <w:lvl w:ilvl="6" w:tplc="FFF2837A" w:tentative="1">
      <w:start w:val="1"/>
      <w:numFmt w:val="bullet"/>
      <w:lvlText w:val="•"/>
      <w:lvlJc w:val="left"/>
      <w:pPr>
        <w:tabs>
          <w:tab w:val="num" w:pos="5040"/>
        </w:tabs>
        <w:ind w:left="5040" w:hanging="360"/>
      </w:pPr>
      <w:rPr>
        <w:rFonts w:ascii="Arial" w:hAnsi="Arial" w:hint="default"/>
      </w:rPr>
    </w:lvl>
    <w:lvl w:ilvl="7" w:tplc="81366E9E" w:tentative="1">
      <w:start w:val="1"/>
      <w:numFmt w:val="bullet"/>
      <w:lvlText w:val="•"/>
      <w:lvlJc w:val="left"/>
      <w:pPr>
        <w:tabs>
          <w:tab w:val="num" w:pos="5760"/>
        </w:tabs>
        <w:ind w:left="5760" w:hanging="360"/>
      </w:pPr>
      <w:rPr>
        <w:rFonts w:ascii="Arial" w:hAnsi="Arial" w:hint="default"/>
      </w:rPr>
    </w:lvl>
    <w:lvl w:ilvl="8" w:tplc="020272A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68017AC"/>
    <w:multiLevelType w:val="hybridMultilevel"/>
    <w:tmpl w:val="9634ADAC"/>
    <w:lvl w:ilvl="0" w:tplc="B4D24D96">
      <w:start w:val="1"/>
      <w:numFmt w:val="bullet"/>
      <w:lvlText w:val="-"/>
      <w:lvlJc w:val="left"/>
      <w:pPr>
        <w:ind w:left="928" w:hanging="360"/>
      </w:pPr>
      <w:rPr>
        <w:rFonts w:ascii="Times New Roman" w:eastAsia="Times New Roman" w:hAnsi="Times New Roman" w:cs="Times New Roman"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3" w15:restartNumberingAfterBreak="0">
    <w:nsid w:val="3AD00B76"/>
    <w:multiLevelType w:val="hybridMultilevel"/>
    <w:tmpl w:val="E2DA48BA"/>
    <w:lvl w:ilvl="0" w:tplc="5E3EE34A">
      <w:start w:val="1"/>
      <w:numFmt w:val="bullet"/>
      <w:lvlText w:val="–"/>
      <w:lvlJc w:val="left"/>
      <w:pPr>
        <w:tabs>
          <w:tab w:val="num" w:pos="720"/>
        </w:tabs>
        <w:ind w:left="720" w:hanging="360"/>
      </w:pPr>
      <w:rPr>
        <w:rFonts w:ascii="Arial" w:hAnsi="Arial" w:hint="default"/>
      </w:rPr>
    </w:lvl>
    <w:lvl w:ilvl="1" w:tplc="29889758">
      <w:start w:val="1"/>
      <w:numFmt w:val="bullet"/>
      <w:lvlText w:val="–"/>
      <w:lvlJc w:val="left"/>
      <w:pPr>
        <w:tabs>
          <w:tab w:val="num" w:pos="1440"/>
        </w:tabs>
        <w:ind w:left="1440" w:hanging="360"/>
      </w:pPr>
      <w:rPr>
        <w:rFonts w:ascii="Arial" w:hAnsi="Arial" w:hint="default"/>
      </w:rPr>
    </w:lvl>
    <w:lvl w:ilvl="2" w:tplc="8F7E5BCA">
      <w:numFmt w:val="bullet"/>
      <w:lvlText w:val="•"/>
      <w:lvlJc w:val="left"/>
      <w:pPr>
        <w:tabs>
          <w:tab w:val="num" w:pos="2160"/>
        </w:tabs>
        <w:ind w:left="2160" w:hanging="360"/>
      </w:pPr>
      <w:rPr>
        <w:rFonts w:ascii="Arial" w:hAnsi="Arial" w:hint="default"/>
      </w:rPr>
    </w:lvl>
    <w:lvl w:ilvl="3" w:tplc="CDBA125E" w:tentative="1">
      <w:start w:val="1"/>
      <w:numFmt w:val="bullet"/>
      <w:lvlText w:val="–"/>
      <w:lvlJc w:val="left"/>
      <w:pPr>
        <w:tabs>
          <w:tab w:val="num" w:pos="2880"/>
        </w:tabs>
        <w:ind w:left="2880" w:hanging="360"/>
      </w:pPr>
      <w:rPr>
        <w:rFonts w:ascii="Arial" w:hAnsi="Arial" w:hint="default"/>
      </w:rPr>
    </w:lvl>
    <w:lvl w:ilvl="4" w:tplc="F3ACAAFC" w:tentative="1">
      <w:start w:val="1"/>
      <w:numFmt w:val="bullet"/>
      <w:lvlText w:val="–"/>
      <w:lvlJc w:val="left"/>
      <w:pPr>
        <w:tabs>
          <w:tab w:val="num" w:pos="3600"/>
        </w:tabs>
        <w:ind w:left="3600" w:hanging="360"/>
      </w:pPr>
      <w:rPr>
        <w:rFonts w:ascii="Arial" w:hAnsi="Arial" w:hint="default"/>
      </w:rPr>
    </w:lvl>
    <w:lvl w:ilvl="5" w:tplc="2068BC50" w:tentative="1">
      <w:start w:val="1"/>
      <w:numFmt w:val="bullet"/>
      <w:lvlText w:val="–"/>
      <w:lvlJc w:val="left"/>
      <w:pPr>
        <w:tabs>
          <w:tab w:val="num" w:pos="4320"/>
        </w:tabs>
        <w:ind w:left="4320" w:hanging="360"/>
      </w:pPr>
      <w:rPr>
        <w:rFonts w:ascii="Arial" w:hAnsi="Arial" w:hint="default"/>
      </w:rPr>
    </w:lvl>
    <w:lvl w:ilvl="6" w:tplc="E9F0429C" w:tentative="1">
      <w:start w:val="1"/>
      <w:numFmt w:val="bullet"/>
      <w:lvlText w:val="–"/>
      <w:lvlJc w:val="left"/>
      <w:pPr>
        <w:tabs>
          <w:tab w:val="num" w:pos="5040"/>
        </w:tabs>
        <w:ind w:left="5040" w:hanging="360"/>
      </w:pPr>
      <w:rPr>
        <w:rFonts w:ascii="Arial" w:hAnsi="Arial" w:hint="default"/>
      </w:rPr>
    </w:lvl>
    <w:lvl w:ilvl="7" w:tplc="B01490BA" w:tentative="1">
      <w:start w:val="1"/>
      <w:numFmt w:val="bullet"/>
      <w:lvlText w:val="–"/>
      <w:lvlJc w:val="left"/>
      <w:pPr>
        <w:tabs>
          <w:tab w:val="num" w:pos="5760"/>
        </w:tabs>
        <w:ind w:left="5760" w:hanging="360"/>
      </w:pPr>
      <w:rPr>
        <w:rFonts w:ascii="Arial" w:hAnsi="Arial" w:hint="default"/>
      </w:rPr>
    </w:lvl>
    <w:lvl w:ilvl="8" w:tplc="BCB2AD8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4B5682"/>
    <w:multiLevelType w:val="hybridMultilevel"/>
    <w:tmpl w:val="E422B176"/>
    <w:lvl w:ilvl="0" w:tplc="7B447556">
      <w:start w:val="1"/>
      <w:numFmt w:val="bullet"/>
      <w:lvlText w:val="•"/>
      <w:lvlJc w:val="left"/>
      <w:pPr>
        <w:tabs>
          <w:tab w:val="num" w:pos="360"/>
        </w:tabs>
        <w:ind w:left="360" w:hanging="360"/>
      </w:pPr>
      <w:rPr>
        <w:rFonts w:ascii="Arial" w:hAnsi="Arial" w:hint="default"/>
      </w:rPr>
    </w:lvl>
    <w:lvl w:ilvl="1" w:tplc="CE2E4546">
      <w:numFmt w:val="bullet"/>
      <w:lvlText w:val="–"/>
      <w:lvlJc w:val="left"/>
      <w:pPr>
        <w:tabs>
          <w:tab w:val="num" w:pos="1080"/>
        </w:tabs>
        <w:ind w:left="1080" w:hanging="360"/>
      </w:pPr>
      <w:rPr>
        <w:rFonts w:ascii="Arial" w:hAnsi="Arial" w:hint="default"/>
      </w:rPr>
    </w:lvl>
    <w:lvl w:ilvl="2" w:tplc="1002A3BA">
      <w:numFmt w:val="bullet"/>
      <w:lvlText w:val="•"/>
      <w:lvlJc w:val="left"/>
      <w:pPr>
        <w:tabs>
          <w:tab w:val="num" w:pos="1800"/>
        </w:tabs>
        <w:ind w:left="1800" w:hanging="360"/>
      </w:pPr>
      <w:rPr>
        <w:rFonts w:ascii="Arial" w:hAnsi="Arial" w:hint="default"/>
      </w:rPr>
    </w:lvl>
    <w:lvl w:ilvl="3" w:tplc="95B82FFE">
      <w:start w:val="1"/>
      <w:numFmt w:val="bullet"/>
      <w:lvlText w:val="•"/>
      <w:lvlJc w:val="left"/>
      <w:pPr>
        <w:tabs>
          <w:tab w:val="num" w:pos="2520"/>
        </w:tabs>
        <w:ind w:left="2520" w:hanging="360"/>
      </w:pPr>
      <w:rPr>
        <w:rFonts w:ascii="Arial" w:hAnsi="Arial" w:hint="default"/>
      </w:rPr>
    </w:lvl>
    <w:lvl w:ilvl="4" w:tplc="91701B3A" w:tentative="1">
      <w:start w:val="1"/>
      <w:numFmt w:val="bullet"/>
      <w:lvlText w:val="•"/>
      <w:lvlJc w:val="left"/>
      <w:pPr>
        <w:tabs>
          <w:tab w:val="num" w:pos="3240"/>
        </w:tabs>
        <w:ind w:left="3240" w:hanging="360"/>
      </w:pPr>
      <w:rPr>
        <w:rFonts w:ascii="Arial" w:hAnsi="Arial" w:hint="default"/>
      </w:rPr>
    </w:lvl>
    <w:lvl w:ilvl="5" w:tplc="F86AAF38" w:tentative="1">
      <w:start w:val="1"/>
      <w:numFmt w:val="bullet"/>
      <w:lvlText w:val="•"/>
      <w:lvlJc w:val="left"/>
      <w:pPr>
        <w:tabs>
          <w:tab w:val="num" w:pos="3960"/>
        </w:tabs>
        <w:ind w:left="3960" w:hanging="360"/>
      </w:pPr>
      <w:rPr>
        <w:rFonts w:ascii="Arial" w:hAnsi="Arial" w:hint="default"/>
      </w:rPr>
    </w:lvl>
    <w:lvl w:ilvl="6" w:tplc="9134E892" w:tentative="1">
      <w:start w:val="1"/>
      <w:numFmt w:val="bullet"/>
      <w:lvlText w:val="•"/>
      <w:lvlJc w:val="left"/>
      <w:pPr>
        <w:tabs>
          <w:tab w:val="num" w:pos="4680"/>
        </w:tabs>
        <w:ind w:left="4680" w:hanging="360"/>
      </w:pPr>
      <w:rPr>
        <w:rFonts w:ascii="Arial" w:hAnsi="Arial" w:hint="default"/>
      </w:rPr>
    </w:lvl>
    <w:lvl w:ilvl="7" w:tplc="B0867F60" w:tentative="1">
      <w:start w:val="1"/>
      <w:numFmt w:val="bullet"/>
      <w:lvlText w:val="•"/>
      <w:lvlJc w:val="left"/>
      <w:pPr>
        <w:tabs>
          <w:tab w:val="num" w:pos="5400"/>
        </w:tabs>
        <w:ind w:left="5400" w:hanging="360"/>
      </w:pPr>
      <w:rPr>
        <w:rFonts w:ascii="Arial" w:hAnsi="Arial" w:hint="default"/>
      </w:rPr>
    </w:lvl>
    <w:lvl w:ilvl="8" w:tplc="126C237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CD3462F"/>
    <w:multiLevelType w:val="hybridMultilevel"/>
    <w:tmpl w:val="738AD2FA"/>
    <w:lvl w:ilvl="0" w:tplc="5136DCBE">
      <w:start w:val="1"/>
      <w:numFmt w:val="bullet"/>
      <w:lvlText w:val="•"/>
      <w:lvlJc w:val="left"/>
      <w:pPr>
        <w:tabs>
          <w:tab w:val="num" w:pos="720"/>
        </w:tabs>
        <w:ind w:left="720" w:hanging="360"/>
      </w:pPr>
      <w:rPr>
        <w:rFonts w:ascii="Arial" w:hAnsi="Arial" w:hint="default"/>
      </w:rPr>
    </w:lvl>
    <w:lvl w:ilvl="1" w:tplc="F2ECFE92">
      <w:numFmt w:val="bullet"/>
      <w:lvlText w:val="–"/>
      <w:lvlJc w:val="left"/>
      <w:pPr>
        <w:tabs>
          <w:tab w:val="num" w:pos="1440"/>
        </w:tabs>
        <w:ind w:left="1440" w:hanging="360"/>
      </w:pPr>
      <w:rPr>
        <w:rFonts w:ascii="Arial" w:hAnsi="Arial" w:hint="default"/>
      </w:rPr>
    </w:lvl>
    <w:lvl w:ilvl="2" w:tplc="C534D100" w:tentative="1">
      <w:start w:val="1"/>
      <w:numFmt w:val="bullet"/>
      <w:lvlText w:val="•"/>
      <w:lvlJc w:val="left"/>
      <w:pPr>
        <w:tabs>
          <w:tab w:val="num" w:pos="2160"/>
        </w:tabs>
        <w:ind w:left="2160" w:hanging="360"/>
      </w:pPr>
      <w:rPr>
        <w:rFonts w:ascii="Arial" w:hAnsi="Arial" w:hint="default"/>
      </w:rPr>
    </w:lvl>
    <w:lvl w:ilvl="3" w:tplc="6B10E1D8" w:tentative="1">
      <w:start w:val="1"/>
      <w:numFmt w:val="bullet"/>
      <w:lvlText w:val="•"/>
      <w:lvlJc w:val="left"/>
      <w:pPr>
        <w:tabs>
          <w:tab w:val="num" w:pos="2880"/>
        </w:tabs>
        <w:ind w:left="2880" w:hanging="360"/>
      </w:pPr>
      <w:rPr>
        <w:rFonts w:ascii="Arial" w:hAnsi="Arial" w:hint="default"/>
      </w:rPr>
    </w:lvl>
    <w:lvl w:ilvl="4" w:tplc="B3B84FCC" w:tentative="1">
      <w:start w:val="1"/>
      <w:numFmt w:val="bullet"/>
      <w:lvlText w:val="•"/>
      <w:lvlJc w:val="left"/>
      <w:pPr>
        <w:tabs>
          <w:tab w:val="num" w:pos="3600"/>
        </w:tabs>
        <w:ind w:left="3600" w:hanging="360"/>
      </w:pPr>
      <w:rPr>
        <w:rFonts w:ascii="Arial" w:hAnsi="Arial" w:hint="default"/>
      </w:rPr>
    </w:lvl>
    <w:lvl w:ilvl="5" w:tplc="C2C0C97A" w:tentative="1">
      <w:start w:val="1"/>
      <w:numFmt w:val="bullet"/>
      <w:lvlText w:val="•"/>
      <w:lvlJc w:val="left"/>
      <w:pPr>
        <w:tabs>
          <w:tab w:val="num" w:pos="4320"/>
        </w:tabs>
        <w:ind w:left="4320" w:hanging="360"/>
      </w:pPr>
      <w:rPr>
        <w:rFonts w:ascii="Arial" w:hAnsi="Arial" w:hint="default"/>
      </w:rPr>
    </w:lvl>
    <w:lvl w:ilvl="6" w:tplc="F028F38A" w:tentative="1">
      <w:start w:val="1"/>
      <w:numFmt w:val="bullet"/>
      <w:lvlText w:val="•"/>
      <w:lvlJc w:val="left"/>
      <w:pPr>
        <w:tabs>
          <w:tab w:val="num" w:pos="5040"/>
        </w:tabs>
        <w:ind w:left="5040" w:hanging="360"/>
      </w:pPr>
      <w:rPr>
        <w:rFonts w:ascii="Arial" w:hAnsi="Arial" w:hint="default"/>
      </w:rPr>
    </w:lvl>
    <w:lvl w:ilvl="7" w:tplc="945AB766" w:tentative="1">
      <w:start w:val="1"/>
      <w:numFmt w:val="bullet"/>
      <w:lvlText w:val="•"/>
      <w:lvlJc w:val="left"/>
      <w:pPr>
        <w:tabs>
          <w:tab w:val="num" w:pos="5760"/>
        </w:tabs>
        <w:ind w:left="5760" w:hanging="360"/>
      </w:pPr>
      <w:rPr>
        <w:rFonts w:ascii="Arial" w:hAnsi="Arial" w:hint="default"/>
      </w:rPr>
    </w:lvl>
    <w:lvl w:ilvl="8" w:tplc="3EA8016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1C340E6"/>
    <w:multiLevelType w:val="hybridMultilevel"/>
    <w:tmpl w:val="2F461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F33562"/>
    <w:multiLevelType w:val="hybridMultilevel"/>
    <w:tmpl w:val="4D3EA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DA1644"/>
    <w:multiLevelType w:val="hybridMultilevel"/>
    <w:tmpl w:val="B13E0602"/>
    <w:lvl w:ilvl="0" w:tplc="B71060E4">
      <w:start w:val="1"/>
      <w:numFmt w:val="bullet"/>
      <w:lvlText w:val="•"/>
      <w:lvlJc w:val="left"/>
      <w:pPr>
        <w:tabs>
          <w:tab w:val="num" w:pos="360"/>
        </w:tabs>
        <w:ind w:left="360" w:hanging="360"/>
      </w:pPr>
      <w:rPr>
        <w:rFonts w:ascii="Arial" w:hAnsi="Arial" w:hint="default"/>
      </w:rPr>
    </w:lvl>
    <w:lvl w:ilvl="1" w:tplc="9F3E873E">
      <w:numFmt w:val="bullet"/>
      <w:lvlText w:val="–"/>
      <w:lvlJc w:val="left"/>
      <w:pPr>
        <w:tabs>
          <w:tab w:val="num" w:pos="1080"/>
        </w:tabs>
        <w:ind w:left="1080" w:hanging="360"/>
      </w:pPr>
      <w:rPr>
        <w:rFonts w:ascii="Arial" w:hAnsi="Arial" w:hint="default"/>
      </w:rPr>
    </w:lvl>
    <w:lvl w:ilvl="2" w:tplc="CED8C966">
      <w:numFmt w:val="bullet"/>
      <w:lvlText w:val="•"/>
      <w:lvlJc w:val="left"/>
      <w:pPr>
        <w:tabs>
          <w:tab w:val="num" w:pos="1800"/>
        </w:tabs>
        <w:ind w:left="1800" w:hanging="360"/>
      </w:pPr>
      <w:rPr>
        <w:rFonts w:ascii="Arial" w:hAnsi="Arial" w:hint="default"/>
      </w:rPr>
    </w:lvl>
    <w:lvl w:ilvl="3" w:tplc="0BA06D4E">
      <w:numFmt w:val="bullet"/>
      <w:lvlText w:val="–"/>
      <w:lvlJc w:val="left"/>
      <w:pPr>
        <w:tabs>
          <w:tab w:val="num" w:pos="2520"/>
        </w:tabs>
        <w:ind w:left="2520" w:hanging="360"/>
      </w:pPr>
      <w:rPr>
        <w:rFonts w:ascii="Arial" w:hAnsi="Arial" w:hint="default"/>
      </w:rPr>
    </w:lvl>
    <w:lvl w:ilvl="4" w:tplc="C8E46EB4">
      <w:numFmt w:val="bullet"/>
      <w:lvlText w:val="»"/>
      <w:lvlJc w:val="left"/>
      <w:pPr>
        <w:tabs>
          <w:tab w:val="num" w:pos="3240"/>
        </w:tabs>
        <w:ind w:left="3240" w:hanging="360"/>
      </w:pPr>
      <w:rPr>
        <w:rFonts w:ascii="Arial" w:hAnsi="Arial" w:hint="default"/>
      </w:rPr>
    </w:lvl>
    <w:lvl w:ilvl="5" w:tplc="60365DBC" w:tentative="1">
      <w:start w:val="1"/>
      <w:numFmt w:val="bullet"/>
      <w:lvlText w:val="•"/>
      <w:lvlJc w:val="left"/>
      <w:pPr>
        <w:tabs>
          <w:tab w:val="num" w:pos="3960"/>
        </w:tabs>
        <w:ind w:left="3960" w:hanging="360"/>
      </w:pPr>
      <w:rPr>
        <w:rFonts w:ascii="Arial" w:hAnsi="Arial" w:hint="default"/>
      </w:rPr>
    </w:lvl>
    <w:lvl w:ilvl="6" w:tplc="746CB980" w:tentative="1">
      <w:start w:val="1"/>
      <w:numFmt w:val="bullet"/>
      <w:lvlText w:val="•"/>
      <w:lvlJc w:val="left"/>
      <w:pPr>
        <w:tabs>
          <w:tab w:val="num" w:pos="4680"/>
        </w:tabs>
        <w:ind w:left="4680" w:hanging="360"/>
      </w:pPr>
      <w:rPr>
        <w:rFonts w:ascii="Arial" w:hAnsi="Arial" w:hint="default"/>
      </w:rPr>
    </w:lvl>
    <w:lvl w:ilvl="7" w:tplc="05169122" w:tentative="1">
      <w:start w:val="1"/>
      <w:numFmt w:val="bullet"/>
      <w:lvlText w:val="•"/>
      <w:lvlJc w:val="left"/>
      <w:pPr>
        <w:tabs>
          <w:tab w:val="num" w:pos="5400"/>
        </w:tabs>
        <w:ind w:left="5400" w:hanging="360"/>
      </w:pPr>
      <w:rPr>
        <w:rFonts w:ascii="Arial" w:hAnsi="Arial" w:hint="default"/>
      </w:rPr>
    </w:lvl>
    <w:lvl w:ilvl="8" w:tplc="6C80F260"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66412289"/>
    <w:multiLevelType w:val="hybridMultilevel"/>
    <w:tmpl w:val="14E64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267C66"/>
    <w:multiLevelType w:val="hybridMultilevel"/>
    <w:tmpl w:val="773CB4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B090524"/>
    <w:multiLevelType w:val="hybridMultilevel"/>
    <w:tmpl w:val="A8D460B6"/>
    <w:lvl w:ilvl="0" w:tplc="96A2534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BF5723A"/>
    <w:multiLevelType w:val="hybridMultilevel"/>
    <w:tmpl w:val="CC903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9" w15:restartNumberingAfterBreak="0">
    <w:nsid w:val="70664ECE"/>
    <w:multiLevelType w:val="hybridMultilevel"/>
    <w:tmpl w:val="0290B324"/>
    <w:lvl w:ilvl="0" w:tplc="1CFE9C58">
      <w:start w:val="1"/>
      <w:numFmt w:val="bullet"/>
      <w:lvlText w:val="•"/>
      <w:lvlJc w:val="left"/>
      <w:pPr>
        <w:tabs>
          <w:tab w:val="num" w:pos="360"/>
        </w:tabs>
        <w:ind w:left="360" w:hanging="360"/>
      </w:pPr>
      <w:rPr>
        <w:rFonts w:ascii="Arial" w:hAnsi="Arial" w:hint="default"/>
      </w:rPr>
    </w:lvl>
    <w:lvl w:ilvl="1" w:tplc="63EE3580">
      <w:numFmt w:val="bullet"/>
      <w:lvlText w:val="–"/>
      <w:lvlJc w:val="left"/>
      <w:pPr>
        <w:tabs>
          <w:tab w:val="num" w:pos="1080"/>
        </w:tabs>
        <w:ind w:left="1080" w:hanging="360"/>
      </w:pPr>
      <w:rPr>
        <w:rFonts w:ascii="Arial" w:hAnsi="Arial" w:hint="default"/>
      </w:rPr>
    </w:lvl>
    <w:lvl w:ilvl="2" w:tplc="D722D362">
      <w:numFmt w:val="bullet"/>
      <w:lvlText w:val="•"/>
      <w:lvlJc w:val="left"/>
      <w:pPr>
        <w:tabs>
          <w:tab w:val="num" w:pos="1800"/>
        </w:tabs>
        <w:ind w:left="1800" w:hanging="360"/>
      </w:pPr>
      <w:rPr>
        <w:rFonts w:ascii="Arial" w:hAnsi="Arial" w:hint="default"/>
      </w:rPr>
    </w:lvl>
    <w:lvl w:ilvl="3" w:tplc="F0022E3E">
      <w:start w:val="1"/>
      <w:numFmt w:val="bullet"/>
      <w:lvlText w:val="•"/>
      <w:lvlJc w:val="left"/>
      <w:pPr>
        <w:tabs>
          <w:tab w:val="num" w:pos="2520"/>
        </w:tabs>
        <w:ind w:left="2520" w:hanging="360"/>
      </w:pPr>
      <w:rPr>
        <w:rFonts w:ascii="Arial" w:hAnsi="Arial" w:hint="default"/>
      </w:rPr>
    </w:lvl>
    <w:lvl w:ilvl="4" w:tplc="46BE5CA2">
      <w:start w:val="1"/>
      <w:numFmt w:val="bullet"/>
      <w:lvlText w:val="•"/>
      <w:lvlJc w:val="left"/>
      <w:pPr>
        <w:tabs>
          <w:tab w:val="num" w:pos="3240"/>
        </w:tabs>
        <w:ind w:left="3240" w:hanging="360"/>
      </w:pPr>
      <w:rPr>
        <w:rFonts w:ascii="Arial" w:hAnsi="Arial" w:hint="default"/>
      </w:rPr>
    </w:lvl>
    <w:lvl w:ilvl="5" w:tplc="0BECD2E8" w:tentative="1">
      <w:start w:val="1"/>
      <w:numFmt w:val="bullet"/>
      <w:lvlText w:val="•"/>
      <w:lvlJc w:val="left"/>
      <w:pPr>
        <w:tabs>
          <w:tab w:val="num" w:pos="3960"/>
        </w:tabs>
        <w:ind w:left="3960" w:hanging="360"/>
      </w:pPr>
      <w:rPr>
        <w:rFonts w:ascii="Arial" w:hAnsi="Arial" w:hint="default"/>
      </w:rPr>
    </w:lvl>
    <w:lvl w:ilvl="6" w:tplc="AD365FA6" w:tentative="1">
      <w:start w:val="1"/>
      <w:numFmt w:val="bullet"/>
      <w:lvlText w:val="•"/>
      <w:lvlJc w:val="left"/>
      <w:pPr>
        <w:tabs>
          <w:tab w:val="num" w:pos="4680"/>
        </w:tabs>
        <w:ind w:left="4680" w:hanging="360"/>
      </w:pPr>
      <w:rPr>
        <w:rFonts w:ascii="Arial" w:hAnsi="Arial" w:hint="default"/>
      </w:rPr>
    </w:lvl>
    <w:lvl w:ilvl="7" w:tplc="BA2846FE" w:tentative="1">
      <w:start w:val="1"/>
      <w:numFmt w:val="bullet"/>
      <w:lvlText w:val="•"/>
      <w:lvlJc w:val="left"/>
      <w:pPr>
        <w:tabs>
          <w:tab w:val="num" w:pos="5400"/>
        </w:tabs>
        <w:ind w:left="5400" w:hanging="360"/>
      </w:pPr>
      <w:rPr>
        <w:rFonts w:ascii="Arial" w:hAnsi="Arial" w:hint="default"/>
      </w:rPr>
    </w:lvl>
    <w:lvl w:ilvl="8" w:tplc="E2A0B15A"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787E5C95"/>
    <w:multiLevelType w:val="hybridMultilevel"/>
    <w:tmpl w:val="08946718"/>
    <w:lvl w:ilvl="0" w:tplc="69D0D852">
      <w:start w:val="1"/>
      <w:numFmt w:val="bullet"/>
      <w:lvlText w:val="•"/>
      <w:lvlJc w:val="left"/>
      <w:pPr>
        <w:tabs>
          <w:tab w:val="num" w:pos="360"/>
        </w:tabs>
        <w:ind w:left="360" w:hanging="360"/>
      </w:pPr>
      <w:rPr>
        <w:rFonts w:ascii="Arial" w:hAnsi="Arial" w:hint="default"/>
      </w:rPr>
    </w:lvl>
    <w:lvl w:ilvl="1" w:tplc="7D1E621A">
      <w:numFmt w:val="bullet"/>
      <w:lvlText w:val="–"/>
      <w:lvlJc w:val="left"/>
      <w:pPr>
        <w:tabs>
          <w:tab w:val="num" w:pos="1080"/>
        </w:tabs>
        <w:ind w:left="1080" w:hanging="360"/>
      </w:pPr>
      <w:rPr>
        <w:rFonts w:ascii="Arial" w:hAnsi="Arial" w:hint="default"/>
      </w:rPr>
    </w:lvl>
    <w:lvl w:ilvl="2" w:tplc="104EBBCE">
      <w:numFmt w:val="bullet"/>
      <w:lvlText w:val="•"/>
      <w:lvlJc w:val="left"/>
      <w:pPr>
        <w:tabs>
          <w:tab w:val="num" w:pos="1800"/>
        </w:tabs>
        <w:ind w:left="1800" w:hanging="360"/>
      </w:pPr>
      <w:rPr>
        <w:rFonts w:ascii="Arial" w:hAnsi="Arial" w:hint="default"/>
      </w:rPr>
    </w:lvl>
    <w:lvl w:ilvl="3" w:tplc="6242D912">
      <w:numFmt w:val="bullet"/>
      <w:lvlText w:val="–"/>
      <w:lvlJc w:val="left"/>
      <w:pPr>
        <w:tabs>
          <w:tab w:val="num" w:pos="2520"/>
        </w:tabs>
        <w:ind w:left="2520" w:hanging="360"/>
      </w:pPr>
      <w:rPr>
        <w:rFonts w:ascii="Arial" w:hAnsi="Arial" w:hint="default"/>
      </w:rPr>
    </w:lvl>
    <w:lvl w:ilvl="4" w:tplc="1ACA0E70">
      <w:numFmt w:val="bullet"/>
      <w:lvlText w:val="»"/>
      <w:lvlJc w:val="left"/>
      <w:pPr>
        <w:tabs>
          <w:tab w:val="num" w:pos="3240"/>
        </w:tabs>
        <w:ind w:left="3240" w:hanging="360"/>
      </w:pPr>
      <w:rPr>
        <w:rFonts w:ascii="Arial" w:hAnsi="Arial" w:hint="default"/>
      </w:rPr>
    </w:lvl>
    <w:lvl w:ilvl="5" w:tplc="5E0C5F6E" w:tentative="1">
      <w:start w:val="1"/>
      <w:numFmt w:val="bullet"/>
      <w:lvlText w:val="•"/>
      <w:lvlJc w:val="left"/>
      <w:pPr>
        <w:tabs>
          <w:tab w:val="num" w:pos="3960"/>
        </w:tabs>
        <w:ind w:left="3960" w:hanging="360"/>
      </w:pPr>
      <w:rPr>
        <w:rFonts w:ascii="Arial" w:hAnsi="Arial" w:hint="default"/>
      </w:rPr>
    </w:lvl>
    <w:lvl w:ilvl="6" w:tplc="9C1A0FCE" w:tentative="1">
      <w:start w:val="1"/>
      <w:numFmt w:val="bullet"/>
      <w:lvlText w:val="•"/>
      <w:lvlJc w:val="left"/>
      <w:pPr>
        <w:tabs>
          <w:tab w:val="num" w:pos="4680"/>
        </w:tabs>
        <w:ind w:left="4680" w:hanging="360"/>
      </w:pPr>
      <w:rPr>
        <w:rFonts w:ascii="Arial" w:hAnsi="Arial" w:hint="default"/>
      </w:rPr>
    </w:lvl>
    <w:lvl w:ilvl="7" w:tplc="980ED566" w:tentative="1">
      <w:start w:val="1"/>
      <w:numFmt w:val="bullet"/>
      <w:lvlText w:val="•"/>
      <w:lvlJc w:val="left"/>
      <w:pPr>
        <w:tabs>
          <w:tab w:val="num" w:pos="5400"/>
        </w:tabs>
        <w:ind w:left="5400" w:hanging="360"/>
      </w:pPr>
      <w:rPr>
        <w:rFonts w:ascii="Arial" w:hAnsi="Arial" w:hint="default"/>
      </w:rPr>
    </w:lvl>
    <w:lvl w:ilvl="8" w:tplc="400EC9FA"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1"/>
  </w:num>
  <w:num w:numId="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3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3"/>
  </w:num>
  <w:num w:numId="11">
    <w:abstractNumId w:val="28"/>
  </w:num>
  <w:num w:numId="12">
    <w:abstractNumId w:val="19"/>
  </w:num>
  <w:num w:numId="13">
    <w:abstractNumId w:val="13"/>
  </w:num>
  <w:num w:numId="14">
    <w:abstractNumId w:val="20"/>
  </w:num>
  <w:num w:numId="15">
    <w:abstractNumId w:val="23"/>
  </w:num>
  <w:num w:numId="16">
    <w:abstractNumId w:val="30"/>
  </w:num>
  <w:num w:numId="17">
    <w:abstractNumId w:val="22"/>
  </w:num>
  <w:num w:numId="18">
    <w:abstractNumId w:val="14"/>
  </w:num>
  <w:num w:numId="19">
    <w:abstractNumId w:val="29"/>
  </w:num>
  <w:num w:numId="20">
    <w:abstractNumId w:val="21"/>
  </w:num>
  <w:num w:numId="21">
    <w:abstractNumId w:val="18"/>
  </w:num>
  <w:num w:numId="22">
    <w:abstractNumId w:val="10"/>
  </w:num>
  <w:num w:numId="23">
    <w:abstractNumId w:val="17"/>
  </w:num>
  <w:num w:numId="24">
    <w:abstractNumId w:val="9"/>
  </w:num>
  <w:num w:numId="25">
    <w:abstractNumId w:val="6"/>
  </w:num>
  <w:num w:numId="26">
    <w:abstractNumId w:val="26"/>
  </w:num>
  <w:num w:numId="27">
    <w:abstractNumId w:val="7"/>
  </w:num>
  <w:num w:numId="28">
    <w:abstractNumId w:val="12"/>
  </w:num>
  <w:num w:numId="29">
    <w:abstractNumId w:val="24"/>
  </w:num>
  <w:num w:numId="30">
    <w:abstractNumId w:val="5"/>
  </w:num>
  <w:num w:numId="31">
    <w:abstractNumId w:val="8"/>
  </w:num>
  <w:num w:numId="32">
    <w:abstractNumId w:val="1"/>
  </w:num>
  <w:num w:numId="33">
    <w:abstractNumId w:val="11"/>
  </w:num>
  <w:num w:numId="34">
    <w:abstractNumId w:val="4"/>
  </w:num>
  <w:num w:numId="35">
    <w:abstractNumId w:val="25"/>
  </w:num>
  <w:num w:numId="36">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0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3FC"/>
    <w:rsid w:val="00013A17"/>
    <w:rsid w:val="0001511B"/>
    <w:rsid w:val="00016123"/>
    <w:rsid w:val="000172F0"/>
    <w:rsid w:val="000176F5"/>
    <w:rsid w:val="0002052C"/>
    <w:rsid w:val="00021743"/>
    <w:rsid w:val="00021CAE"/>
    <w:rsid w:val="00021F19"/>
    <w:rsid w:val="000224EE"/>
    <w:rsid w:val="0002357C"/>
    <w:rsid w:val="000243FC"/>
    <w:rsid w:val="00024952"/>
    <w:rsid w:val="00025358"/>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38D"/>
    <w:rsid w:val="000459BE"/>
    <w:rsid w:val="00045E08"/>
    <w:rsid w:val="00050318"/>
    <w:rsid w:val="00050545"/>
    <w:rsid w:val="00050957"/>
    <w:rsid w:val="00051788"/>
    <w:rsid w:val="00051C39"/>
    <w:rsid w:val="000523C0"/>
    <w:rsid w:val="000527A5"/>
    <w:rsid w:val="000531E5"/>
    <w:rsid w:val="00053B21"/>
    <w:rsid w:val="00053BDB"/>
    <w:rsid w:val="00054BC2"/>
    <w:rsid w:val="000554F4"/>
    <w:rsid w:val="0005634C"/>
    <w:rsid w:val="00056D35"/>
    <w:rsid w:val="00056E8E"/>
    <w:rsid w:val="00056EDD"/>
    <w:rsid w:val="00056FBB"/>
    <w:rsid w:val="0005737D"/>
    <w:rsid w:val="000578FA"/>
    <w:rsid w:val="00057DED"/>
    <w:rsid w:val="00060CF2"/>
    <w:rsid w:val="00060EEF"/>
    <w:rsid w:val="00061A8B"/>
    <w:rsid w:val="0006353B"/>
    <w:rsid w:val="00063A62"/>
    <w:rsid w:val="00063BE7"/>
    <w:rsid w:val="000645B4"/>
    <w:rsid w:val="00066378"/>
    <w:rsid w:val="00066A4C"/>
    <w:rsid w:val="00066EE3"/>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5D89"/>
    <w:rsid w:val="000962AD"/>
    <w:rsid w:val="00097274"/>
    <w:rsid w:val="00097B64"/>
    <w:rsid w:val="00097E22"/>
    <w:rsid w:val="00097E2C"/>
    <w:rsid w:val="00097E50"/>
    <w:rsid w:val="000A00B8"/>
    <w:rsid w:val="000A01EE"/>
    <w:rsid w:val="000A0579"/>
    <w:rsid w:val="000A0A66"/>
    <w:rsid w:val="000A11B4"/>
    <w:rsid w:val="000A1E9C"/>
    <w:rsid w:val="000A2628"/>
    <w:rsid w:val="000A35F8"/>
    <w:rsid w:val="000A3C2D"/>
    <w:rsid w:val="000A3E09"/>
    <w:rsid w:val="000A505A"/>
    <w:rsid w:val="000A595A"/>
    <w:rsid w:val="000A59EA"/>
    <w:rsid w:val="000A67D0"/>
    <w:rsid w:val="000A7CED"/>
    <w:rsid w:val="000B17DF"/>
    <w:rsid w:val="000B19D0"/>
    <w:rsid w:val="000B30E0"/>
    <w:rsid w:val="000B3965"/>
    <w:rsid w:val="000B3A01"/>
    <w:rsid w:val="000B4334"/>
    <w:rsid w:val="000B4A7F"/>
    <w:rsid w:val="000B4BCC"/>
    <w:rsid w:val="000B557C"/>
    <w:rsid w:val="000B5E5E"/>
    <w:rsid w:val="000B7388"/>
    <w:rsid w:val="000B76DA"/>
    <w:rsid w:val="000C127F"/>
    <w:rsid w:val="000C1921"/>
    <w:rsid w:val="000C1C22"/>
    <w:rsid w:val="000C2644"/>
    <w:rsid w:val="000C3954"/>
    <w:rsid w:val="000C42A7"/>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1DE"/>
    <w:rsid w:val="000F4522"/>
    <w:rsid w:val="000F4F3F"/>
    <w:rsid w:val="000F5983"/>
    <w:rsid w:val="000F73C0"/>
    <w:rsid w:val="000F7CF0"/>
    <w:rsid w:val="00100FA4"/>
    <w:rsid w:val="001013C0"/>
    <w:rsid w:val="00101571"/>
    <w:rsid w:val="00102195"/>
    <w:rsid w:val="00102C01"/>
    <w:rsid w:val="00104727"/>
    <w:rsid w:val="0010478B"/>
    <w:rsid w:val="00104EFB"/>
    <w:rsid w:val="00105157"/>
    <w:rsid w:val="00105513"/>
    <w:rsid w:val="00106747"/>
    <w:rsid w:val="00106FFC"/>
    <w:rsid w:val="00107593"/>
    <w:rsid w:val="001076A9"/>
    <w:rsid w:val="00107904"/>
    <w:rsid w:val="00110795"/>
    <w:rsid w:val="0011084B"/>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A88"/>
    <w:rsid w:val="00125B9F"/>
    <w:rsid w:val="001264B1"/>
    <w:rsid w:val="001265AC"/>
    <w:rsid w:val="00126A2A"/>
    <w:rsid w:val="00126AA3"/>
    <w:rsid w:val="00126D1A"/>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C91"/>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4D4F"/>
    <w:rsid w:val="00215001"/>
    <w:rsid w:val="00215848"/>
    <w:rsid w:val="002171BB"/>
    <w:rsid w:val="002173D9"/>
    <w:rsid w:val="00220B73"/>
    <w:rsid w:val="00220F3E"/>
    <w:rsid w:val="0022133C"/>
    <w:rsid w:val="00221966"/>
    <w:rsid w:val="00221ED4"/>
    <w:rsid w:val="00222631"/>
    <w:rsid w:val="002228D1"/>
    <w:rsid w:val="002230EB"/>
    <w:rsid w:val="002235E7"/>
    <w:rsid w:val="00223E14"/>
    <w:rsid w:val="002243DF"/>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408BE"/>
    <w:rsid w:val="00241281"/>
    <w:rsid w:val="00242B77"/>
    <w:rsid w:val="0024363C"/>
    <w:rsid w:val="00245B24"/>
    <w:rsid w:val="00246B61"/>
    <w:rsid w:val="00247AF0"/>
    <w:rsid w:val="00250218"/>
    <w:rsid w:val="00250262"/>
    <w:rsid w:val="002509D0"/>
    <w:rsid w:val="00251B15"/>
    <w:rsid w:val="00253327"/>
    <w:rsid w:val="002533F4"/>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4A50"/>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4FFF"/>
    <w:rsid w:val="002A5B38"/>
    <w:rsid w:val="002B0A1B"/>
    <w:rsid w:val="002B15A0"/>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1F4A"/>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396"/>
    <w:rsid w:val="00305D4B"/>
    <w:rsid w:val="00306427"/>
    <w:rsid w:val="0030672C"/>
    <w:rsid w:val="00306F35"/>
    <w:rsid w:val="00310141"/>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771F"/>
    <w:rsid w:val="00337C0E"/>
    <w:rsid w:val="00340C1B"/>
    <w:rsid w:val="0034137B"/>
    <w:rsid w:val="00341611"/>
    <w:rsid w:val="00341905"/>
    <w:rsid w:val="00341E35"/>
    <w:rsid w:val="0034219A"/>
    <w:rsid w:val="0034362E"/>
    <w:rsid w:val="003440A3"/>
    <w:rsid w:val="00344667"/>
    <w:rsid w:val="00345588"/>
    <w:rsid w:val="0035099A"/>
    <w:rsid w:val="003518DC"/>
    <w:rsid w:val="003519AF"/>
    <w:rsid w:val="003527DD"/>
    <w:rsid w:val="00352C9D"/>
    <w:rsid w:val="003542FC"/>
    <w:rsid w:val="00354AC7"/>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1B4D"/>
    <w:rsid w:val="00391EC8"/>
    <w:rsid w:val="00392524"/>
    <w:rsid w:val="00394915"/>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A6E"/>
    <w:rsid w:val="003D0AAA"/>
    <w:rsid w:val="003D228F"/>
    <w:rsid w:val="003D38E4"/>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3936"/>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0AD"/>
    <w:rsid w:val="00441909"/>
    <w:rsid w:val="00441AC0"/>
    <w:rsid w:val="00442549"/>
    <w:rsid w:val="00444F50"/>
    <w:rsid w:val="00446921"/>
    <w:rsid w:val="004505D5"/>
    <w:rsid w:val="004508F4"/>
    <w:rsid w:val="00450D9E"/>
    <w:rsid w:val="0045163F"/>
    <w:rsid w:val="00452702"/>
    <w:rsid w:val="004530B2"/>
    <w:rsid w:val="00454FEA"/>
    <w:rsid w:val="004564B4"/>
    <w:rsid w:val="004570AC"/>
    <w:rsid w:val="00457CEC"/>
    <w:rsid w:val="00457D58"/>
    <w:rsid w:val="004611DF"/>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5D5"/>
    <w:rsid w:val="00477C5F"/>
    <w:rsid w:val="00477EDE"/>
    <w:rsid w:val="00480051"/>
    <w:rsid w:val="004807A0"/>
    <w:rsid w:val="004807F5"/>
    <w:rsid w:val="004817E8"/>
    <w:rsid w:val="004829AA"/>
    <w:rsid w:val="00483F35"/>
    <w:rsid w:val="00483FD0"/>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A039E"/>
    <w:rsid w:val="004A0E95"/>
    <w:rsid w:val="004A126D"/>
    <w:rsid w:val="004A159A"/>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0D4F"/>
    <w:rsid w:val="004C3603"/>
    <w:rsid w:val="004C41DC"/>
    <w:rsid w:val="004C48D3"/>
    <w:rsid w:val="004C74E9"/>
    <w:rsid w:val="004C7F1F"/>
    <w:rsid w:val="004D09CC"/>
    <w:rsid w:val="004D1B24"/>
    <w:rsid w:val="004D1B6D"/>
    <w:rsid w:val="004D3652"/>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217D"/>
    <w:rsid w:val="004F3225"/>
    <w:rsid w:val="004F3A20"/>
    <w:rsid w:val="004F466E"/>
    <w:rsid w:val="004F4E7F"/>
    <w:rsid w:val="004F5A32"/>
    <w:rsid w:val="004F5ADB"/>
    <w:rsid w:val="004F60B1"/>
    <w:rsid w:val="004F6F6D"/>
    <w:rsid w:val="00500476"/>
    <w:rsid w:val="005006F3"/>
    <w:rsid w:val="0050078D"/>
    <w:rsid w:val="00501587"/>
    <w:rsid w:val="0050327B"/>
    <w:rsid w:val="005063B3"/>
    <w:rsid w:val="0050694D"/>
    <w:rsid w:val="00507AA3"/>
    <w:rsid w:val="005102D5"/>
    <w:rsid w:val="00510895"/>
    <w:rsid w:val="0051133A"/>
    <w:rsid w:val="0051176D"/>
    <w:rsid w:val="00512086"/>
    <w:rsid w:val="00512B48"/>
    <w:rsid w:val="00512ECA"/>
    <w:rsid w:val="005138D6"/>
    <w:rsid w:val="00513BB0"/>
    <w:rsid w:val="00514DF7"/>
    <w:rsid w:val="0051551E"/>
    <w:rsid w:val="0051671A"/>
    <w:rsid w:val="00516D6D"/>
    <w:rsid w:val="00516FDB"/>
    <w:rsid w:val="00517583"/>
    <w:rsid w:val="00517C19"/>
    <w:rsid w:val="00521481"/>
    <w:rsid w:val="00521CBF"/>
    <w:rsid w:val="00521F55"/>
    <w:rsid w:val="005225C6"/>
    <w:rsid w:val="00522EAD"/>
    <w:rsid w:val="00523372"/>
    <w:rsid w:val="00523D96"/>
    <w:rsid w:val="00524186"/>
    <w:rsid w:val="00526165"/>
    <w:rsid w:val="00526356"/>
    <w:rsid w:val="005279B8"/>
    <w:rsid w:val="00530065"/>
    <w:rsid w:val="00532191"/>
    <w:rsid w:val="00533C6E"/>
    <w:rsid w:val="005351E8"/>
    <w:rsid w:val="0053629F"/>
    <w:rsid w:val="00536BA8"/>
    <w:rsid w:val="00536D04"/>
    <w:rsid w:val="00537411"/>
    <w:rsid w:val="00540473"/>
    <w:rsid w:val="005429DC"/>
    <w:rsid w:val="00543181"/>
    <w:rsid w:val="005450E0"/>
    <w:rsid w:val="0054524C"/>
    <w:rsid w:val="005458D3"/>
    <w:rsid w:val="00546324"/>
    <w:rsid w:val="005464A2"/>
    <w:rsid w:val="00546682"/>
    <w:rsid w:val="00547009"/>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7F5"/>
    <w:rsid w:val="00605FE9"/>
    <w:rsid w:val="0060691C"/>
    <w:rsid w:val="00606994"/>
    <w:rsid w:val="00606EA8"/>
    <w:rsid w:val="006105A0"/>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8B5"/>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F08"/>
    <w:rsid w:val="006610FA"/>
    <w:rsid w:val="006611D3"/>
    <w:rsid w:val="006627DE"/>
    <w:rsid w:val="006628CF"/>
    <w:rsid w:val="00662C95"/>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2E1"/>
    <w:rsid w:val="00684AA6"/>
    <w:rsid w:val="006856C0"/>
    <w:rsid w:val="00687C17"/>
    <w:rsid w:val="0069017A"/>
    <w:rsid w:val="00690490"/>
    <w:rsid w:val="006918EE"/>
    <w:rsid w:val="00691F11"/>
    <w:rsid w:val="00692682"/>
    <w:rsid w:val="00692A6A"/>
    <w:rsid w:val="00692F61"/>
    <w:rsid w:val="00692F75"/>
    <w:rsid w:val="00694373"/>
    <w:rsid w:val="0069504A"/>
    <w:rsid w:val="00695FEA"/>
    <w:rsid w:val="0069618B"/>
    <w:rsid w:val="0069658E"/>
    <w:rsid w:val="00696C66"/>
    <w:rsid w:val="006A05A5"/>
    <w:rsid w:val="006A0CBB"/>
    <w:rsid w:val="006A1353"/>
    <w:rsid w:val="006A2C54"/>
    <w:rsid w:val="006A3B3B"/>
    <w:rsid w:val="006A48AC"/>
    <w:rsid w:val="006A4A7F"/>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0E6"/>
    <w:rsid w:val="006D35B4"/>
    <w:rsid w:val="006D516E"/>
    <w:rsid w:val="006D53B5"/>
    <w:rsid w:val="006D669F"/>
    <w:rsid w:val="006D7810"/>
    <w:rsid w:val="006E064C"/>
    <w:rsid w:val="006E0C02"/>
    <w:rsid w:val="006E1452"/>
    <w:rsid w:val="006E16E6"/>
    <w:rsid w:val="006E1ECC"/>
    <w:rsid w:val="006E2D78"/>
    <w:rsid w:val="006E390D"/>
    <w:rsid w:val="006E41D3"/>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935"/>
    <w:rsid w:val="006F3AD6"/>
    <w:rsid w:val="006F3F4C"/>
    <w:rsid w:val="006F466B"/>
    <w:rsid w:val="006F4EAF"/>
    <w:rsid w:val="006F4F07"/>
    <w:rsid w:val="006F5135"/>
    <w:rsid w:val="006F56AE"/>
    <w:rsid w:val="006F5B07"/>
    <w:rsid w:val="006F6264"/>
    <w:rsid w:val="00700960"/>
    <w:rsid w:val="00700AB6"/>
    <w:rsid w:val="00701B60"/>
    <w:rsid w:val="00701BF4"/>
    <w:rsid w:val="00702525"/>
    <w:rsid w:val="00702C53"/>
    <w:rsid w:val="00703608"/>
    <w:rsid w:val="00704106"/>
    <w:rsid w:val="007050EC"/>
    <w:rsid w:val="0070671B"/>
    <w:rsid w:val="007070E1"/>
    <w:rsid w:val="007109BD"/>
    <w:rsid w:val="007113AE"/>
    <w:rsid w:val="007113C5"/>
    <w:rsid w:val="007114C7"/>
    <w:rsid w:val="007121E9"/>
    <w:rsid w:val="007122A3"/>
    <w:rsid w:val="00712CC1"/>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1319"/>
    <w:rsid w:val="007338BF"/>
    <w:rsid w:val="0073452C"/>
    <w:rsid w:val="0073469E"/>
    <w:rsid w:val="00734B9B"/>
    <w:rsid w:val="00735712"/>
    <w:rsid w:val="007358EB"/>
    <w:rsid w:val="00735E8B"/>
    <w:rsid w:val="00735F06"/>
    <w:rsid w:val="007362E8"/>
    <w:rsid w:val="00736A7B"/>
    <w:rsid w:val="00736C6F"/>
    <w:rsid w:val="007402F1"/>
    <w:rsid w:val="0074107A"/>
    <w:rsid w:val="007416D2"/>
    <w:rsid w:val="00741C06"/>
    <w:rsid w:val="00743D37"/>
    <w:rsid w:val="00743F78"/>
    <w:rsid w:val="0074402B"/>
    <w:rsid w:val="00744C1F"/>
    <w:rsid w:val="007456A3"/>
    <w:rsid w:val="00745705"/>
    <w:rsid w:val="00745CF6"/>
    <w:rsid w:val="007465BA"/>
    <w:rsid w:val="00747701"/>
    <w:rsid w:val="007525FD"/>
    <w:rsid w:val="00752C30"/>
    <w:rsid w:val="00752C81"/>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426D"/>
    <w:rsid w:val="00775200"/>
    <w:rsid w:val="00776DC6"/>
    <w:rsid w:val="00777681"/>
    <w:rsid w:val="00777880"/>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E8D"/>
    <w:rsid w:val="007A5E95"/>
    <w:rsid w:val="007A79FC"/>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45B7"/>
    <w:rsid w:val="007C4944"/>
    <w:rsid w:val="007C54B7"/>
    <w:rsid w:val="007C66BD"/>
    <w:rsid w:val="007C6E34"/>
    <w:rsid w:val="007D0352"/>
    <w:rsid w:val="007D12BA"/>
    <w:rsid w:val="007D1486"/>
    <w:rsid w:val="007D14A1"/>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B3F"/>
    <w:rsid w:val="007F0BBB"/>
    <w:rsid w:val="007F1ECB"/>
    <w:rsid w:val="007F249F"/>
    <w:rsid w:val="007F2C04"/>
    <w:rsid w:val="007F39C1"/>
    <w:rsid w:val="007F3BE3"/>
    <w:rsid w:val="007F3CE2"/>
    <w:rsid w:val="007F3EA4"/>
    <w:rsid w:val="007F47B2"/>
    <w:rsid w:val="007F5E5E"/>
    <w:rsid w:val="007F6325"/>
    <w:rsid w:val="007F69BA"/>
    <w:rsid w:val="008006D6"/>
    <w:rsid w:val="008007CD"/>
    <w:rsid w:val="00801062"/>
    <w:rsid w:val="00801150"/>
    <w:rsid w:val="00801BDC"/>
    <w:rsid w:val="00801CE9"/>
    <w:rsid w:val="008027B7"/>
    <w:rsid w:val="00802FFF"/>
    <w:rsid w:val="008040C0"/>
    <w:rsid w:val="00805DB8"/>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233"/>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4FC3"/>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380"/>
    <w:rsid w:val="00874595"/>
    <w:rsid w:val="00874AEC"/>
    <w:rsid w:val="00875752"/>
    <w:rsid w:val="00876EF6"/>
    <w:rsid w:val="00876F74"/>
    <w:rsid w:val="008804CD"/>
    <w:rsid w:val="008806E4"/>
    <w:rsid w:val="008809D5"/>
    <w:rsid w:val="00880DC8"/>
    <w:rsid w:val="00880E4F"/>
    <w:rsid w:val="00882774"/>
    <w:rsid w:val="0088483A"/>
    <w:rsid w:val="00885DFA"/>
    <w:rsid w:val="00886054"/>
    <w:rsid w:val="00887FA8"/>
    <w:rsid w:val="0089104A"/>
    <w:rsid w:val="008935AB"/>
    <w:rsid w:val="00894A50"/>
    <w:rsid w:val="00895E36"/>
    <w:rsid w:val="00895FF3"/>
    <w:rsid w:val="00896227"/>
    <w:rsid w:val="00896491"/>
    <w:rsid w:val="00896739"/>
    <w:rsid w:val="008968DC"/>
    <w:rsid w:val="00896918"/>
    <w:rsid w:val="00896D3C"/>
    <w:rsid w:val="0089703E"/>
    <w:rsid w:val="00897096"/>
    <w:rsid w:val="00897EE1"/>
    <w:rsid w:val="008A0A18"/>
    <w:rsid w:val="008A1816"/>
    <w:rsid w:val="008A2144"/>
    <w:rsid w:val="008A244A"/>
    <w:rsid w:val="008A2CBD"/>
    <w:rsid w:val="008A2DA5"/>
    <w:rsid w:val="008A3CDD"/>
    <w:rsid w:val="008A3F49"/>
    <w:rsid w:val="008A4713"/>
    <w:rsid w:val="008A6BF4"/>
    <w:rsid w:val="008A71CC"/>
    <w:rsid w:val="008A74A8"/>
    <w:rsid w:val="008B0B5B"/>
    <w:rsid w:val="008B20FD"/>
    <w:rsid w:val="008B2281"/>
    <w:rsid w:val="008B2DE0"/>
    <w:rsid w:val="008B41B3"/>
    <w:rsid w:val="008B461C"/>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6297"/>
    <w:rsid w:val="008E6A62"/>
    <w:rsid w:val="008E74E5"/>
    <w:rsid w:val="008E784C"/>
    <w:rsid w:val="008E789F"/>
    <w:rsid w:val="008F0377"/>
    <w:rsid w:val="008F05DA"/>
    <w:rsid w:val="008F15C7"/>
    <w:rsid w:val="008F1860"/>
    <w:rsid w:val="008F18EF"/>
    <w:rsid w:val="008F1C52"/>
    <w:rsid w:val="008F2995"/>
    <w:rsid w:val="008F2AA2"/>
    <w:rsid w:val="008F2ABE"/>
    <w:rsid w:val="008F3245"/>
    <w:rsid w:val="008F336E"/>
    <w:rsid w:val="008F365F"/>
    <w:rsid w:val="008F4093"/>
    <w:rsid w:val="008F4D6B"/>
    <w:rsid w:val="008F5154"/>
    <w:rsid w:val="008F5A70"/>
    <w:rsid w:val="00901EF6"/>
    <w:rsid w:val="00902212"/>
    <w:rsid w:val="009024F8"/>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6CD9"/>
    <w:rsid w:val="0094703A"/>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5AF"/>
    <w:rsid w:val="00975937"/>
    <w:rsid w:val="009768AE"/>
    <w:rsid w:val="009771E3"/>
    <w:rsid w:val="00980459"/>
    <w:rsid w:val="00980625"/>
    <w:rsid w:val="00983F05"/>
    <w:rsid w:val="00983F47"/>
    <w:rsid w:val="009849C3"/>
    <w:rsid w:val="009851D9"/>
    <w:rsid w:val="00986177"/>
    <w:rsid w:val="0098673B"/>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587D"/>
    <w:rsid w:val="009B6008"/>
    <w:rsid w:val="009B6202"/>
    <w:rsid w:val="009B630A"/>
    <w:rsid w:val="009B7EA6"/>
    <w:rsid w:val="009C0406"/>
    <w:rsid w:val="009C046C"/>
    <w:rsid w:val="009C2247"/>
    <w:rsid w:val="009C2E39"/>
    <w:rsid w:val="009C2E5C"/>
    <w:rsid w:val="009C3699"/>
    <w:rsid w:val="009C37E6"/>
    <w:rsid w:val="009C42E6"/>
    <w:rsid w:val="009C5659"/>
    <w:rsid w:val="009C6971"/>
    <w:rsid w:val="009C734E"/>
    <w:rsid w:val="009C7593"/>
    <w:rsid w:val="009C7678"/>
    <w:rsid w:val="009C7860"/>
    <w:rsid w:val="009D0ED7"/>
    <w:rsid w:val="009D10E4"/>
    <w:rsid w:val="009D1827"/>
    <w:rsid w:val="009D2317"/>
    <w:rsid w:val="009D281D"/>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6496"/>
    <w:rsid w:val="009F68A4"/>
    <w:rsid w:val="009F737C"/>
    <w:rsid w:val="00A008A7"/>
    <w:rsid w:val="00A009EB"/>
    <w:rsid w:val="00A0177A"/>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27EB9"/>
    <w:rsid w:val="00A300B2"/>
    <w:rsid w:val="00A32B61"/>
    <w:rsid w:val="00A32BD5"/>
    <w:rsid w:val="00A32DBF"/>
    <w:rsid w:val="00A32DC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521E"/>
    <w:rsid w:val="00A46724"/>
    <w:rsid w:val="00A46EC5"/>
    <w:rsid w:val="00A46FC2"/>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03E9"/>
    <w:rsid w:val="00A80A9D"/>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B1A48"/>
    <w:rsid w:val="00AB24A5"/>
    <w:rsid w:val="00AB31CA"/>
    <w:rsid w:val="00AB350B"/>
    <w:rsid w:val="00AB4375"/>
    <w:rsid w:val="00AB44B9"/>
    <w:rsid w:val="00AB4522"/>
    <w:rsid w:val="00AB4C70"/>
    <w:rsid w:val="00AB508F"/>
    <w:rsid w:val="00AB52BB"/>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69E8"/>
    <w:rsid w:val="00AF6FA9"/>
    <w:rsid w:val="00AF73FC"/>
    <w:rsid w:val="00B00884"/>
    <w:rsid w:val="00B02280"/>
    <w:rsid w:val="00B0307A"/>
    <w:rsid w:val="00B068F8"/>
    <w:rsid w:val="00B073CB"/>
    <w:rsid w:val="00B0774E"/>
    <w:rsid w:val="00B106AA"/>
    <w:rsid w:val="00B10FCB"/>
    <w:rsid w:val="00B12A56"/>
    <w:rsid w:val="00B131B8"/>
    <w:rsid w:val="00B14182"/>
    <w:rsid w:val="00B1529A"/>
    <w:rsid w:val="00B15863"/>
    <w:rsid w:val="00B15C0B"/>
    <w:rsid w:val="00B15D2E"/>
    <w:rsid w:val="00B17F57"/>
    <w:rsid w:val="00B20128"/>
    <w:rsid w:val="00B20A16"/>
    <w:rsid w:val="00B21156"/>
    <w:rsid w:val="00B21715"/>
    <w:rsid w:val="00B2295D"/>
    <w:rsid w:val="00B22B36"/>
    <w:rsid w:val="00B22DBA"/>
    <w:rsid w:val="00B2307D"/>
    <w:rsid w:val="00B230C1"/>
    <w:rsid w:val="00B2556B"/>
    <w:rsid w:val="00B257A4"/>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377A8"/>
    <w:rsid w:val="00B406C0"/>
    <w:rsid w:val="00B4094C"/>
    <w:rsid w:val="00B4168E"/>
    <w:rsid w:val="00B42721"/>
    <w:rsid w:val="00B42DD2"/>
    <w:rsid w:val="00B42FE9"/>
    <w:rsid w:val="00B43911"/>
    <w:rsid w:val="00B43B08"/>
    <w:rsid w:val="00B45243"/>
    <w:rsid w:val="00B4739F"/>
    <w:rsid w:val="00B47797"/>
    <w:rsid w:val="00B50847"/>
    <w:rsid w:val="00B50FBA"/>
    <w:rsid w:val="00B514F8"/>
    <w:rsid w:val="00B521EC"/>
    <w:rsid w:val="00B5268A"/>
    <w:rsid w:val="00B52F73"/>
    <w:rsid w:val="00B532C4"/>
    <w:rsid w:val="00B5342A"/>
    <w:rsid w:val="00B57A45"/>
    <w:rsid w:val="00B60057"/>
    <w:rsid w:val="00B600AC"/>
    <w:rsid w:val="00B60A77"/>
    <w:rsid w:val="00B62E85"/>
    <w:rsid w:val="00B63DEC"/>
    <w:rsid w:val="00B64047"/>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4BDD"/>
    <w:rsid w:val="00B8575E"/>
    <w:rsid w:val="00B865E8"/>
    <w:rsid w:val="00B86BA3"/>
    <w:rsid w:val="00B874B7"/>
    <w:rsid w:val="00B901B1"/>
    <w:rsid w:val="00B90483"/>
    <w:rsid w:val="00B9070D"/>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F6E"/>
    <w:rsid w:val="00BA1979"/>
    <w:rsid w:val="00BA401A"/>
    <w:rsid w:val="00BA4CAD"/>
    <w:rsid w:val="00BA4E4D"/>
    <w:rsid w:val="00BA5438"/>
    <w:rsid w:val="00BA6849"/>
    <w:rsid w:val="00BA6B5B"/>
    <w:rsid w:val="00BB0253"/>
    <w:rsid w:val="00BB1B41"/>
    <w:rsid w:val="00BB1F6D"/>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3AEF"/>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5A6"/>
    <w:rsid w:val="00BD49DC"/>
    <w:rsid w:val="00BD5AD7"/>
    <w:rsid w:val="00BD62F3"/>
    <w:rsid w:val="00BD6C75"/>
    <w:rsid w:val="00BD71CA"/>
    <w:rsid w:val="00BE1101"/>
    <w:rsid w:val="00BE1B06"/>
    <w:rsid w:val="00BE454B"/>
    <w:rsid w:val="00BE4AEE"/>
    <w:rsid w:val="00BE5C1E"/>
    <w:rsid w:val="00BE64A0"/>
    <w:rsid w:val="00BE6DE9"/>
    <w:rsid w:val="00BE703B"/>
    <w:rsid w:val="00BF1E3E"/>
    <w:rsid w:val="00BF2130"/>
    <w:rsid w:val="00BF509F"/>
    <w:rsid w:val="00BF556F"/>
    <w:rsid w:val="00BF6968"/>
    <w:rsid w:val="00BF7956"/>
    <w:rsid w:val="00C0041C"/>
    <w:rsid w:val="00C0056C"/>
    <w:rsid w:val="00C01802"/>
    <w:rsid w:val="00C030D9"/>
    <w:rsid w:val="00C03518"/>
    <w:rsid w:val="00C05A38"/>
    <w:rsid w:val="00C05D08"/>
    <w:rsid w:val="00C07CAF"/>
    <w:rsid w:val="00C07CBF"/>
    <w:rsid w:val="00C10078"/>
    <w:rsid w:val="00C1249F"/>
    <w:rsid w:val="00C124ED"/>
    <w:rsid w:val="00C125C3"/>
    <w:rsid w:val="00C13140"/>
    <w:rsid w:val="00C1339D"/>
    <w:rsid w:val="00C14A6F"/>
    <w:rsid w:val="00C157BC"/>
    <w:rsid w:val="00C15B76"/>
    <w:rsid w:val="00C15D4C"/>
    <w:rsid w:val="00C1609D"/>
    <w:rsid w:val="00C177A7"/>
    <w:rsid w:val="00C21B81"/>
    <w:rsid w:val="00C21FA8"/>
    <w:rsid w:val="00C222BD"/>
    <w:rsid w:val="00C22EF0"/>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8F0"/>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14C9"/>
    <w:rsid w:val="00C92353"/>
    <w:rsid w:val="00C928BD"/>
    <w:rsid w:val="00C9366E"/>
    <w:rsid w:val="00C936FD"/>
    <w:rsid w:val="00C94242"/>
    <w:rsid w:val="00C955B7"/>
    <w:rsid w:val="00C96036"/>
    <w:rsid w:val="00C97473"/>
    <w:rsid w:val="00CA003A"/>
    <w:rsid w:val="00CA2170"/>
    <w:rsid w:val="00CA2C52"/>
    <w:rsid w:val="00CA32D6"/>
    <w:rsid w:val="00CA4855"/>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544"/>
    <w:rsid w:val="00CB7906"/>
    <w:rsid w:val="00CC0A82"/>
    <w:rsid w:val="00CC1194"/>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51A"/>
    <w:rsid w:val="00CD67E8"/>
    <w:rsid w:val="00CD7327"/>
    <w:rsid w:val="00CD7975"/>
    <w:rsid w:val="00CE0E96"/>
    <w:rsid w:val="00CE101F"/>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97A"/>
    <w:rsid w:val="00D01DBE"/>
    <w:rsid w:val="00D04B3F"/>
    <w:rsid w:val="00D05D8C"/>
    <w:rsid w:val="00D10A4D"/>
    <w:rsid w:val="00D10A90"/>
    <w:rsid w:val="00D12DD3"/>
    <w:rsid w:val="00D12EA6"/>
    <w:rsid w:val="00D13F25"/>
    <w:rsid w:val="00D16748"/>
    <w:rsid w:val="00D16FA6"/>
    <w:rsid w:val="00D174D2"/>
    <w:rsid w:val="00D2062E"/>
    <w:rsid w:val="00D221D7"/>
    <w:rsid w:val="00D22A65"/>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9AC"/>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0EF"/>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5B"/>
    <w:rsid w:val="00DF2C08"/>
    <w:rsid w:val="00DF4286"/>
    <w:rsid w:val="00DF5A5A"/>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408"/>
    <w:rsid w:val="00E069B3"/>
    <w:rsid w:val="00E06AED"/>
    <w:rsid w:val="00E06BC5"/>
    <w:rsid w:val="00E076E5"/>
    <w:rsid w:val="00E07CD5"/>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32F"/>
    <w:rsid w:val="00E80D6A"/>
    <w:rsid w:val="00E81920"/>
    <w:rsid w:val="00E820E1"/>
    <w:rsid w:val="00E82F46"/>
    <w:rsid w:val="00E83EB0"/>
    <w:rsid w:val="00E84EA5"/>
    <w:rsid w:val="00E85466"/>
    <w:rsid w:val="00E868FF"/>
    <w:rsid w:val="00E86F5D"/>
    <w:rsid w:val="00E87A87"/>
    <w:rsid w:val="00E87C8A"/>
    <w:rsid w:val="00E87CFD"/>
    <w:rsid w:val="00E87DB5"/>
    <w:rsid w:val="00E87DDB"/>
    <w:rsid w:val="00E87F02"/>
    <w:rsid w:val="00E910B1"/>
    <w:rsid w:val="00E9168A"/>
    <w:rsid w:val="00E93CF8"/>
    <w:rsid w:val="00E9436D"/>
    <w:rsid w:val="00E94851"/>
    <w:rsid w:val="00E949A5"/>
    <w:rsid w:val="00E94A62"/>
    <w:rsid w:val="00E9527A"/>
    <w:rsid w:val="00E95933"/>
    <w:rsid w:val="00E96978"/>
    <w:rsid w:val="00E96AEE"/>
    <w:rsid w:val="00E9714D"/>
    <w:rsid w:val="00E9777C"/>
    <w:rsid w:val="00E97ADE"/>
    <w:rsid w:val="00EA0DC8"/>
    <w:rsid w:val="00EA1903"/>
    <w:rsid w:val="00EA28F3"/>
    <w:rsid w:val="00EA2B7F"/>
    <w:rsid w:val="00EA3806"/>
    <w:rsid w:val="00EA3EA6"/>
    <w:rsid w:val="00EA4A06"/>
    <w:rsid w:val="00EA5639"/>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7C11"/>
    <w:rsid w:val="00EF054A"/>
    <w:rsid w:val="00EF082F"/>
    <w:rsid w:val="00EF08FC"/>
    <w:rsid w:val="00EF10A1"/>
    <w:rsid w:val="00EF23AA"/>
    <w:rsid w:val="00EF2BCD"/>
    <w:rsid w:val="00EF31E8"/>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CD9"/>
    <w:rsid w:val="00F0633B"/>
    <w:rsid w:val="00F06EC3"/>
    <w:rsid w:val="00F078F6"/>
    <w:rsid w:val="00F0799C"/>
    <w:rsid w:val="00F10DD6"/>
    <w:rsid w:val="00F1186A"/>
    <w:rsid w:val="00F11F0C"/>
    <w:rsid w:val="00F11FA3"/>
    <w:rsid w:val="00F12DB9"/>
    <w:rsid w:val="00F133AD"/>
    <w:rsid w:val="00F1373A"/>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4A78"/>
    <w:rsid w:val="00F663DF"/>
    <w:rsid w:val="00F702AD"/>
    <w:rsid w:val="00F7051A"/>
    <w:rsid w:val="00F7132D"/>
    <w:rsid w:val="00F71A92"/>
    <w:rsid w:val="00F7264F"/>
    <w:rsid w:val="00F7390F"/>
    <w:rsid w:val="00F7406D"/>
    <w:rsid w:val="00F74BD3"/>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0FD8"/>
    <w:rsid w:val="00F91A71"/>
    <w:rsid w:val="00F91CFF"/>
    <w:rsid w:val="00F92174"/>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6D49"/>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486E"/>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uiPriority w:val="39"/>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54360832">
      <w:bodyDiv w:val="1"/>
      <w:marLeft w:val="0"/>
      <w:marRight w:val="0"/>
      <w:marTop w:val="0"/>
      <w:marBottom w:val="0"/>
      <w:divBdr>
        <w:top w:val="none" w:sz="0" w:space="0" w:color="auto"/>
        <w:left w:val="none" w:sz="0" w:space="0" w:color="auto"/>
        <w:bottom w:val="none" w:sz="0" w:space="0" w:color="auto"/>
        <w:right w:val="none" w:sz="0" w:space="0" w:color="auto"/>
      </w:divBdr>
      <w:divsChild>
        <w:div w:id="696539153">
          <w:marLeft w:val="1080"/>
          <w:marRight w:val="0"/>
          <w:marTop w:val="100"/>
          <w:marBottom w:val="0"/>
          <w:divBdr>
            <w:top w:val="none" w:sz="0" w:space="0" w:color="auto"/>
            <w:left w:val="none" w:sz="0" w:space="0" w:color="auto"/>
            <w:bottom w:val="none" w:sz="0" w:space="0" w:color="auto"/>
            <w:right w:val="none" w:sz="0" w:space="0" w:color="auto"/>
          </w:divBdr>
        </w:div>
        <w:div w:id="1105342532">
          <w:marLeft w:val="1080"/>
          <w:marRight w:val="0"/>
          <w:marTop w:val="100"/>
          <w:marBottom w:val="0"/>
          <w:divBdr>
            <w:top w:val="none" w:sz="0" w:space="0" w:color="auto"/>
            <w:left w:val="none" w:sz="0" w:space="0" w:color="auto"/>
            <w:bottom w:val="none" w:sz="0" w:space="0" w:color="auto"/>
            <w:right w:val="none" w:sz="0" w:space="0" w:color="auto"/>
          </w:divBdr>
        </w:div>
        <w:div w:id="926498093">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0747148">
      <w:bodyDiv w:val="1"/>
      <w:marLeft w:val="0"/>
      <w:marRight w:val="0"/>
      <w:marTop w:val="0"/>
      <w:marBottom w:val="0"/>
      <w:divBdr>
        <w:top w:val="none" w:sz="0" w:space="0" w:color="auto"/>
        <w:left w:val="none" w:sz="0" w:space="0" w:color="auto"/>
        <w:bottom w:val="none" w:sz="0" w:space="0" w:color="auto"/>
        <w:right w:val="none" w:sz="0" w:space="0" w:color="auto"/>
      </w:divBdr>
      <w:divsChild>
        <w:div w:id="1933121568">
          <w:marLeft w:val="1080"/>
          <w:marRight w:val="0"/>
          <w:marTop w:val="100"/>
          <w:marBottom w:val="0"/>
          <w:divBdr>
            <w:top w:val="none" w:sz="0" w:space="0" w:color="auto"/>
            <w:left w:val="none" w:sz="0" w:space="0" w:color="auto"/>
            <w:bottom w:val="none" w:sz="0" w:space="0" w:color="auto"/>
            <w:right w:val="none" w:sz="0" w:space="0" w:color="auto"/>
          </w:divBdr>
        </w:div>
        <w:div w:id="2068725587">
          <w:marLeft w:val="1080"/>
          <w:marRight w:val="0"/>
          <w:marTop w:val="100"/>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88424852">
      <w:bodyDiv w:val="1"/>
      <w:marLeft w:val="0"/>
      <w:marRight w:val="0"/>
      <w:marTop w:val="0"/>
      <w:marBottom w:val="0"/>
      <w:divBdr>
        <w:top w:val="none" w:sz="0" w:space="0" w:color="auto"/>
        <w:left w:val="none" w:sz="0" w:space="0" w:color="auto"/>
        <w:bottom w:val="none" w:sz="0" w:space="0" w:color="auto"/>
        <w:right w:val="none" w:sz="0" w:space="0" w:color="auto"/>
      </w:divBdr>
      <w:divsChild>
        <w:div w:id="229387873">
          <w:marLeft w:val="1080"/>
          <w:marRight w:val="0"/>
          <w:marTop w:val="100"/>
          <w:marBottom w:val="0"/>
          <w:divBdr>
            <w:top w:val="none" w:sz="0" w:space="0" w:color="auto"/>
            <w:left w:val="none" w:sz="0" w:space="0" w:color="auto"/>
            <w:bottom w:val="none" w:sz="0" w:space="0" w:color="auto"/>
            <w:right w:val="none" w:sz="0" w:space="0" w:color="auto"/>
          </w:divBdr>
        </w:div>
        <w:div w:id="1372997742">
          <w:marLeft w:val="1080"/>
          <w:marRight w:val="0"/>
          <w:marTop w:val="100"/>
          <w:marBottom w:val="0"/>
          <w:divBdr>
            <w:top w:val="none" w:sz="0" w:space="0" w:color="auto"/>
            <w:left w:val="none" w:sz="0" w:space="0" w:color="auto"/>
            <w:bottom w:val="none" w:sz="0" w:space="0" w:color="auto"/>
            <w:right w:val="none" w:sz="0" w:space="0" w:color="auto"/>
          </w:divBdr>
        </w:div>
        <w:div w:id="1214733087">
          <w:marLeft w:val="1080"/>
          <w:marRight w:val="0"/>
          <w:marTop w:val="100"/>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6075447">
      <w:bodyDiv w:val="1"/>
      <w:marLeft w:val="0"/>
      <w:marRight w:val="0"/>
      <w:marTop w:val="0"/>
      <w:marBottom w:val="0"/>
      <w:divBdr>
        <w:top w:val="none" w:sz="0" w:space="0" w:color="auto"/>
        <w:left w:val="none" w:sz="0" w:space="0" w:color="auto"/>
        <w:bottom w:val="none" w:sz="0" w:space="0" w:color="auto"/>
        <w:right w:val="none" w:sz="0" w:space="0" w:color="auto"/>
      </w:divBdr>
      <w:divsChild>
        <w:div w:id="2056006929">
          <w:marLeft w:val="1166"/>
          <w:marRight w:val="0"/>
          <w:marTop w:val="0"/>
          <w:marBottom w:val="0"/>
          <w:divBdr>
            <w:top w:val="none" w:sz="0" w:space="0" w:color="auto"/>
            <w:left w:val="none" w:sz="0" w:space="0" w:color="auto"/>
            <w:bottom w:val="none" w:sz="0" w:space="0" w:color="auto"/>
            <w:right w:val="none" w:sz="0" w:space="0" w:color="auto"/>
          </w:divBdr>
        </w:div>
        <w:div w:id="2050571339">
          <w:marLeft w:val="1166"/>
          <w:marRight w:val="0"/>
          <w:marTop w:val="0"/>
          <w:marBottom w:val="0"/>
          <w:divBdr>
            <w:top w:val="none" w:sz="0" w:space="0" w:color="auto"/>
            <w:left w:val="none" w:sz="0" w:space="0" w:color="auto"/>
            <w:bottom w:val="none" w:sz="0" w:space="0" w:color="auto"/>
            <w:right w:val="none" w:sz="0" w:space="0" w:color="auto"/>
          </w:divBdr>
        </w:div>
        <w:div w:id="330645308">
          <w:marLeft w:val="1166"/>
          <w:marRight w:val="0"/>
          <w:marTop w:val="0"/>
          <w:marBottom w:val="0"/>
          <w:divBdr>
            <w:top w:val="none" w:sz="0" w:space="0" w:color="auto"/>
            <w:left w:val="none" w:sz="0" w:space="0" w:color="auto"/>
            <w:bottom w:val="none" w:sz="0" w:space="0" w:color="auto"/>
            <w:right w:val="none" w:sz="0" w:space="0" w:color="auto"/>
          </w:divBdr>
        </w:div>
      </w:divsChild>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37786079">
      <w:bodyDiv w:val="1"/>
      <w:marLeft w:val="0"/>
      <w:marRight w:val="0"/>
      <w:marTop w:val="0"/>
      <w:marBottom w:val="0"/>
      <w:divBdr>
        <w:top w:val="none" w:sz="0" w:space="0" w:color="auto"/>
        <w:left w:val="none" w:sz="0" w:space="0" w:color="auto"/>
        <w:bottom w:val="none" w:sz="0" w:space="0" w:color="auto"/>
        <w:right w:val="none" w:sz="0" w:space="0" w:color="auto"/>
      </w:divBdr>
      <w:divsChild>
        <w:div w:id="1696614838">
          <w:marLeft w:val="1166"/>
          <w:marRight w:val="0"/>
          <w:marTop w:val="0"/>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4</TotalTime>
  <Pages>6</Pages>
  <Words>1877</Words>
  <Characters>10699</Characters>
  <Application>Microsoft Office Word</Application>
  <DocSecurity>0</DocSecurity>
  <Lines>89</Lines>
  <Paragraphs>25</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12551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Jerry Cui</cp:lastModifiedBy>
  <cp:revision>15</cp:revision>
  <cp:lastPrinted>2016-08-05T18:54:00Z</cp:lastPrinted>
  <dcterms:created xsi:type="dcterms:W3CDTF">2022-01-03T19:32:00Z</dcterms:created>
  <dcterms:modified xsi:type="dcterms:W3CDTF">2022-01-10T21:06:00Z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